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napToGrid w:val="0"/>
        <w:spacing w:before="100" w:beforeAutospacing="1" w:after="100" w:afterAutospacing="1"/>
        <w:rPr>
          <w:rFonts w:ascii="Times New Roman" w:hAnsi="Times New Roman"/>
          <w:sz w:val="28"/>
          <w:szCs w:val="28"/>
        </w:rPr>
      </w:pPr>
      <w:bookmarkStart w:id="70" w:name="_GoBack"/>
      <w:bookmarkEnd w:id="70"/>
    </w:p>
    <w:p>
      <w:pPr>
        <w:tabs>
          <w:tab w:val="left" w:pos="630"/>
        </w:tabs>
        <w:snapToGrid w:val="0"/>
        <w:jc w:val="center"/>
        <w:rPr>
          <w:rFonts w:ascii="Times New Roman" w:hAnsi="Times New Roman"/>
          <w:b/>
          <w:sz w:val="32"/>
        </w:rPr>
      </w:pPr>
    </w:p>
    <w:p>
      <w:pPr>
        <w:tabs>
          <w:tab w:val="left" w:pos="630"/>
        </w:tabs>
        <w:snapToGrid w:val="0"/>
        <w:spacing w:line="360" w:lineRule="auto"/>
        <w:jc w:val="center"/>
        <w:rPr>
          <w:rFonts w:ascii="Times New Roman" w:hAnsi="Times New Roman"/>
          <w:b/>
          <w:sz w:val="52"/>
          <w:szCs w:val="52"/>
        </w:rPr>
      </w:pPr>
      <w:r>
        <w:rPr>
          <w:rFonts w:hint="eastAsia" w:ascii="微软雅黑" w:hAnsi="微软雅黑" w:eastAsia="微软雅黑" w:cs="微软雅黑"/>
          <w:b/>
          <w:sz w:val="52"/>
          <w:szCs w:val="52"/>
        </w:rPr>
        <w:t>廊坊银行股份有限公司</w:t>
      </w:r>
    </w:p>
    <w:p>
      <w:pPr>
        <w:tabs>
          <w:tab w:val="left" w:pos="630"/>
        </w:tabs>
        <w:snapToGrid w:val="0"/>
        <w:spacing w:line="480" w:lineRule="auto"/>
        <w:jc w:val="center"/>
        <w:rPr>
          <w:rFonts w:ascii="微软雅黑" w:hAnsi="微软雅黑" w:eastAsia="微软雅黑" w:cs="微软雅黑"/>
          <w:b/>
          <w:sz w:val="52"/>
          <w:szCs w:val="52"/>
        </w:rPr>
      </w:pPr>
      <w:bookmarkStart w:id="0" w:name="OLE_LINK4"/>
      <w:bookmarkStart w:id="1" w:name="OLE_LINK3"/>
      <w:r>
        <w:rPr>
          <w:rFonts w:hint="eastAsia" w:ascii="微软雅黑" w:hAnsi="微软雅黑" w:eastAsia="微软雅黑" w:cs="微软雅黑"/>
          <w:b/>
          <w:sz w:val="52"/>
          <w:szCs w:val="52"/>
        </w:rPr>
        <w:t>供应链金融项目-网络设备采购</w:t>
      </w:r>
    </w:p>
    <w:bookmarkEnd w:id="0"/>
    <w:bookmarkEnd w:id="1"/>
    <w:p>
      <w:pPr>
        <w:snapToGrid w:val="0"/>
        <w:spacing w:before="100" w:beforeAutospacing="1" w:after="100" w:afterAutospacing="1"/>
        <w:ind w:right="-84" w:rightChars="-40"/>
        <w:jc w:val="center"/>
        <w:rPr>
          <w:rFonts w:ascii="微软雅黑" w:hAnsi="微软雅黑" w:eastAsia="微软雅黑"/>
          <w:bCs/>
          <w:sz w:val="144"/>
          <w:szCs w:val="144"/>
        </w:rPr>
      </w:pPr>
      <w:r>
        <w:rPr>
          <w:rFonts w:ascii="微软雅黑" w:hAnsi="微软雅黑" w:eastAsia="微软雅黑"/>
          <w:bCs/>
          <w:sz w:val="144"/>
          <w:szCs w:val="144"/>
        </w:rPr>
        <w:t>招标文件</w:t>
      </w:r>
    </w:p>
    <w:p>
      <w:pPr>
        <w:snapToGrid w:val="0"/>
        <w:spacing w:before="100" w:beforeAutospacing="1" w:after="100" w:afterAutospacing="1"/>
        <w:jc w:val="center"/>
        <w:rPr>
          <w:rFonts w:ascii="Times New Roman" w:hAnsi="Times New Roman"/>
          <w:sz w:val="144"/>
          <w:szCs w:val="144"/>
        </w:rPr>
      </w:pPr>
    </w:p>
    <w:p>
      <w:pPr>
        <w:snapToGrid w:val="0"/>
        <w:spacing w:before="100" w:beforeAutospacing="1" w:after="100" w:afterAutospacing="1" w:line="700" w:lineRule="exact"/>
        <w:jc w:val="center"/>
        <w:rPr>
          <w:rFonts w:ascii="Times New Roman" w:hAnsi="Times New Roman"/>
          <w:b/>
          <w:sz w:val="32"/>
          <w:szCs w:val="32"/>
        </w:rPr>
      </w:pPr>
    </w:p>
    <w:p>
      <w:pPr>
        <w:snapToGrid w:val="0"/>
        <w:spacing w:before="100" w:beforeAutospacing="1" w:after="100" w:afterAutospacing="1" w:line="700" w:lineRule="exact"/>
        <w:jc w:val="center"/>
        <w:rPr>
          <w:rFonts w:ascii="微软雅黑" w:hAnsi="微软雅黑" w:eastAsia="微软雅黑"/>
          <w:b/>
          <w:sz w:val="32"/>
          <w:szCs w:val="32"/>
        </w:rPr>
      </w:pPr>
      <w:r>
        <w:rPr>
          <w:rFonts w:hint="eastAsia" w:ascii="微软雅黑" w:hAnsi="微软雅黑" w:eastAsia="微软雅黑"/>
          <w:b/>
          <w:sz w:val="32"/>
          <w:szCs w:val="32"/>
        </w:rPr>
        <w:t>招标人：廊坊银行股份有限公司</w:t>
      </w:r>
    </w:p>
    <w:p>
      <w:pPr>
        <w:ind w:firstLine="3826" w:firstLineChars="1195"/>
        <w:jc w:val="both"/>
        <w:rPr>
          <w:rFonts w:ascii="微软雅黑" w:hAnsi="微软雅黑" w:eastAsia="微软雅黑" w:cs="黑体"/>
          <w:kern w:val="0"/>
          <w:sz w:val="22"/>
          <w:highlight w:val="yellow"/>
          <w:lang w:val="zh-CN"/>
        </w:rPr>
        <w:sectPr>
          <w:headerReference r:id="rId3" w:type="default"/>
          <w:footerReference r:id="rId4" w:type="default"/>
          <w:pgSz w:w="11909" w:h="16834"/>
          <w:pgMar w:top="1440" w:right="1134" w:bottom="1440" w:left="1134" w:header="0" w:footer="907" w:gutter="0"/>
          <w:pgNumType w:fmt="decimalFullWidth" w:start="1"/>
          <w:cols w:space="0" w:num="1"/>
          <w:docGrid w:linePitch="286" w:charSpace="0"/>
        </w:sectPr>
      </w:pPr>
      <w:r>
        <w:rPr>
          <w:rFonts w:ascii="微软雅黑" w:hAnsi="微软雅黑" w:eastAsia="微软雅黑"/>
          <w:b/>
          <w:sz w:val="32"/>
          <w:szCs w:val="32"/>
        </w:rPr>
        <w:t>202</w:t>
      </w:r>
      <w:r>
        <w:rPr>
          <w:rFonts w:hint="eastAsia" w:ascii="微软雅黑" w:hAnsi="微软雅黑" w:eastAsia="微软雅黑"/>
          <w:b/>
          <w:sz w:val="32"/>
          <w:szCs w:val="32"/>
          <w:lang w:val="en-US" w:eastAsia="zh-CN"/>
        </w:rPr>
        <w:t>3</w:t>
      </w:r>
      <w:r>
        <w:rPr>
          <w:rFonts w:ascii="微软雅黑" w:hAnsi="微软雅黑" w:eastAsia="微软雅黑"/>
          <w:b/>
          <w:sz w:val="32"/>
          <w:szCs w:val="32"/>
        </w:rPr>
        <w:t>年</w:t>
      </w:r>
      <w:r>
        <w:rPr>
          <w:rFonts w:hint="eastAsia" w:ascii="微软雅黑" w:hAnsi="微软雅黑" w:eastAsia="微软雅黑"/>
          <w:b/>
          <w:sz w:val="32"/>
          <w:szCs w:val="32"/>
          <w:lang w:val="en-US" w:eastAsia="zh-CN"/>
        </w:rPr>
        <w:t>11</w:t>
      </w:r>
      <w:r>
        <w:rPr>
          <w:rFonts w:ascii="微软雅黑" w:hAnsi="微软雅黑" w:eastAsia="微软雅黑"/>
          <w:b/>
          <w:sz w:val="32"/>
          <w:szCs w:val="32"/>
        </w:rPr>
        <w:t>月</w:t>
      </w:r>
    </w:p>
    <w:p>
      <w:pPr>
        <w:rPr>
          <w:rFonts w:ascii="微软雅黑" w:hAnsi="微软雅黑" w:eastAsia="微软雅黑" w:cs="黑体"/>
          <w:kern w:val="0"/>
          <w:sz w:val="22"/>
          <w:highlight w:val="yellow"/>
          <w:lang w:val="zh-CN"/>
        </w:rPr>
      </w:pPr>
    </w:p>
    <w:p>
      <w:pPr>
        <w:jc w:val="center"/>
        <w:rPr>
          <w:rFonts w:ascii="微软雅黑" w:hAnsi="微软雅黑" w:eastAsia="微软雅黑"/>
          <w:b/>
          <w:sz w:val="28"/>
          <w:lang w:val="zh-CN"/>
        </w:rPr>
      </w:pPr>
      <w:r>
        <w:rPr>
          <w:rFonts w:hint="eastAsia" w:ascii="微软雅黑" w:hAnsi="微软雅黑" w:eastAsia="微软雅黑"/>
          <w:b/>
          <w:sz w:val="28"/>
          <w:lang w:val="zh-CN"/>
        </w:rPr>
        <w:t>目 录</w:t>
      </w:r>
    </w:p>
    <w:p>
      <w:pPr>
        <w:tabs>
          <w:tab w:val="left" w:pos="1335"/>
        </w:tabs>
        <w:rPr>
          <w:rFonts w:ascii="微软雅黑" w:hAnsi="微软雅黑" w:eastAsia="微软雅黑"/>
          <w:b/>
          <w:sz w:val="28"/>
        </w:rPr>
      </w:pPr>
      <w:r>
        <w:rPr>
          <w:rFonts w:ascii="微软雅黑" w:hAnsi="微软雅黑" w:eastAsia="微软雅黑"/>
          <w:b/>
          <w:sz w:val="28"/>
        </w:rPr>
        <w:tab/>
      </w:r>
    </w:p>
    <w:p>
      <w:pPr>
        <w:pStyle w:val="22"/>
        <w:tabs>
          <w:tab w:val="right" w:leader="dot" w:pos="9641"/>
        </w:tabs>
      </w:pPr>
      <w:r>
        <w:rPr>
          <w:rFonts w:hint="eastAsia" w:ascii="微软雅黑" w:hAnsi="微软雅黑" w:eastAsia="微软雅黑"/>
          <w:sz w:val="20"/>
          <w:szCs w:val="20"/>
        </w:rPr>
        <w:fldChar w:fldCharType="begin"/>
      </w:r>
      <w:r>
        <w:rPr>
          <w:rFonts w:hint="eastAsia" w:ascii="微软雅黑" w:hAnsi="微软雅黑" w:eastAsia="微软雅黑"/>
          <w:sz w:val="20"/>
          <w:szCs w:val="20"/>
        </w:rPr>
        <w:instrText xml:space="preserve"> TOC \o "1-3" \h \z \u </w:instrText>
      </w:r>
      <w:r>
        <w:rPr>
          <w:rFonts w:hint="eastAsia" w:ascii="微软雅黑" w:hAnsi="微软雅黑" w:eastAsia="微软雅黑"/>
          <w:sz w:val="20"/>
          <w:szCs w:val="20"/>
        </w:rPr>
        <w:fldChar w:fldCharType="separate"/>
      </w:r>
      <w:r>
        <w:rPr>
          <w:rFonts w:hint="eastAsia" w:ascii="微软雅黑" w:hAnsi="微软雅黑" w:eastAsia="微软雅黑"/>
          <w:szCs w:val="20"/>
        </w:rPr>
        <w:fldChar w:fldCharType="begin"/>
      </w:r>
      <w:r>
        <w:rPr>
          <w:rFonts w:hint="eastAsia" w:ascii="微软雅黑" w:hAnsi="微软雅黑" w:eastAsia="微软雅黑"/>
          <w:szCs w:val="20"/>
        </w:rPr>
        <w:instrText xml:space="preserve"> HYPERLINK \l _Toc15712 </w:instrText>
      </w:r>
      <w:r>
        <w:rPr>
          <w:rFonts w:hint="eastAsia" w:ascii="微软雅黑" w:hAnsi="微软雅黑" w:eastAsia="微软雅黑"/>
          <w:szCs w:val="20"/>
        </w:rPr>
        <w:fldChar w:fldCharType="separate"/>
      </w:r>
      <w:r>
        <w:rPr>
          <w:rFonts w:hint="eastAsia" w:ascii="微软雅黑" w:hAnsi="微软雅黑" w:eastAsia="微软雅黑"/>
        </w:rPr>
        <w:t>第一部分：招标邀请</w:t>
      </w:r>
      <w:r>
        <w:tab/>
      </w:r>
      <w:r>
        <w:fldChar w:fldCharType="begin"/>
      </w:r>
      <w:r>
        <w:instrText xml:space="preserve"> PAGEREF _Toc15712 \h </w:instrText>
      </w:r>
      <w:r>
        <w:fldChar w:fldCharType="separate"/>
      </w:r>
      <w:r>
        <w:t>４</w:t>
      </w:r>
      <w:r>
        <w:fldChar w:fldCharType="end"/>
      </w:r>
      <w:r>
        <w:rPr>
          <w:rFonts w:hint="eastAsia" w:ascii="微软雅黑" w:hAnsi="微软雅黑" w:eastAsia="微软雅黑"/>
          <w:szCs w:val="20"/>
        </w:rPr>
        <w:fldChar w:fldCharType="end"/>
      </w:r>
    </w:p>
    <w:p>
      <w:pPr>
        <w:pStyle w:val="22"/>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_Toc23974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第二部分：投标须知</w:t>
      </w:r>
      <w:r>
        <w:tab/>
      </w:r>
      <w:r>
        <w:fldChar w:fldCharType="begin"/>
      </w:r>
      <w:r>
        <w:instrText xml:space="preserve"> PAGEREF _Toc23974 \h </w:instrText>
      </w:r>
      <w:r>
        <w:fldChar w:fldCharType="separate"/>
      </w:r>
      <w:r>
        <w:t>５</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_Toc23665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一、前附表</w:t>
      </w:r>
      <w:r>
        <w:tab/>
      </w:r>
      <w:r>
        <w:fldChar w:fldCharType="begin"/>
      </w:r>
      <w:r>
        <w:instrText xml:space="preserve"> PAGEREF _Toc23665 \h </w:instrText>
      </w:r>
      <w:r>
        <w:fldChar w:fldCharType="separate"/>
      </w:r>
      <w:r>
        <w:t>５</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_Toc3243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二、简介</w:t>
      </w:r>
      <w:r>
        <w:tab/>
      </w:r>
      <w:r>
        <w:fldChar w:fldCharType="begin"/>
      </w:r>
      <w:r>
        <w:instrText xml:space="preserve"> PAGEREF _Toc3243 \h </w:instrText>
      </w:r>
      <w:r>
        <w:fldChar w:fldCharType="separate"/>
      </w:r>
      <w:r>
        <w:t>６</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_Toc21466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三、招标文件的组成</w:t>
      </w:r>
      <w:r>
        <w:tab/>
      </w:r>
      <w:r>
        <w:fldChar w:fldCharType="begin"/>
      </w:r>
      <w:r>
        <w:instrText xml:space="preserve"> PAGEREF _Toc21466 \h </w:instrText>
      </w:r>
      <w:r>
        <w:fldChar w:fldCharType="separate"/>
      </w:r>
      <w:r>
        <w:t>８</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_Toc7590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四、投标文件的组成</w:t>
      </w:r>
      <w:r>
        <w:tab/>
      </w:r>
      <w:r>
        <w:fldChar w:fldCharType="begin"/>
      </w:r>
      <w:r>
        <w:instrText xml:space="preserve"> PAGEREF _Toc7590 \h </w:instrText>
      </w:r>
      <w:r>
        <w:fldChar w:fldCharType="separate"/>
      </w:r>
      <w:r>
        <w:t>１０</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_Toc11623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五、投标文件的递交</w:t>
      </w:r>
      <w:r>
        <w:tab/>
      </w:r>
      <w:r>
        <w:fldChar w:fldCharType="begin"/>
      </w:r>
      <w:r>
        <w:instrText xml:space="preserve"> PAGEREF _Toc11623 \h </w:instrText>
      </w:r>
      <w:r>
        <w:fldChar w:fldCharType="separate"/>
      </w:r>
      <w:r>
        <w:t>１２</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_Toc5413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六、开标及评标</w:t>
      </w:r>
      <w:r>
        <w:tab/>
      </w:r>
      <w:r>
        <w:fldChar w:fldCharType="begin"/>
      </w:r>
      <w:r>
        <w:instrText xml:space="preserve"> PAGEREF _Toc5413 \h </w:instrText>
      </w:r>
      <w:r>
        <w:fldChar w:fldCharType="separate"/>
      </w:r>
      <w:r>
        <w:t>１４</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_Toc15767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七、合同授予</w:t>
      </w:r>
      <w:r>
        <w:tab/>
      </w:r>
      <w:r>
        <w:fldChar w:fldCharType="begin"/>
      </w:r>
      <w:r>
        <w:instrText xml:space="preserve"> PAGEREF _Toc15767 \h </w:instrText>
      </w:r>
      <w:r>
        <w:fldChar w:fldCharType="separate"/>
      </w:r>
      <w:r>
        <w:t>２０</w:t>
      </w:r>
      <w:r>
        <w:fldChar w:fldCharType="end"/>
      </w:r>
      <w:r>
        <w:rPr>
          <w:rFonts w:hint="eastAsia" w:ascii="微软雅黑" w:hAnsi="微软雅黑" w:eastAsia="微软雅黑" w:cs="黑体"/>
          <w:bCs/>
          <w:kern w:val="0"/>
          <w:szCs w:val="20"/>
          <w:lang w:val="zh-CN" w:eastAsia="zh-CN" w:bidi="ar-SA"/>
        </w:rPr>
        <w:fldChar w:fldCharType="end"/>
      </w:r>
    </w:p>
    <w:p>
      <w:pPr>
        <w:pStyle w:val="22"/>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_Toc30511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第三部分：合同专用条款</w:t>
      </w:r>
      <w:r>
        <w:tab/>
      </w:r>
      <w:r>
        <w:fldChar w:fldCharType="begin"/>
      </w:r>
      <w:r>
        <w:instrText xml:space="preserve"> PAGEREF _Toc30511 \h </w:instrText>
      </w:r>
      <w:r>
        <w:fldChar w:fldCharType="separate"/>
      </w:r>
      <w:r>
        <w:t>２７</w:t>
      </w:r>
      <w:r>
        <w:fldChar w:fldCharType="end"/>
      </w:r>
      <w:r>
        <w:rPr>
          <w:rFonts w:hint="eastAsia" w:ascii="微软雅黑" w:hAnsi="微软雅黑" w:eastAsia="微软雅黑" w:cs="黑体"/>
          <w:bCs/>
          <w:kern w:val="0"/>
          <w:szCs w:val="20"/>
          <w:lang w:val="zh-CN" w:eastAsia="zh-CN" w:bidi="ar-SA"/>
        </w:rPr>
        <w:fldChar w:fldCharType="end"/>
      </w:r>
    </w:p>
    <w:p>
      <w:pPr>
        <w:pStyle w:val="22"/>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_Toc31695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第四部分：项目技术标准</w:t>
      </w:r>
      <w:r>
        <w:tab/>
      </w:r>
      <w:r>
        <w:fldChar w:fldCharType="begin"/>
      </w:r>
      <w:r>
        <w:instrText xml:space="preserve"> PAGEREF _Toc31695 \h </w:instrText>
      </w:r>
      <w:r>
        <w:fldChar w:fldCharType="separate"/>
      </w:r>
      <w:r>
        <w:t>２８</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_Toc15140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一、 项目背景</w:t>
      </w:r>
      <w:r>
        <w:tab/>
      </w:r>
      <w:r>
        <w:fldChar w:fldCharType="begin"/>
      </w:r>
      <w:r>
        <w:instrText xml:space="preserve"> PAGEREF _Toc15140 \h </w:instrText>
      </w:r>
      <w:r>
        <w:fldChar w:fldCharType="separate"/>
      </w:r>
      <w:r>
        <w:t>２８</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_Toc12604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二、 设备集成要求</w:t>
      </w:r>
      <w:r>
        <w:tab/>
      </w:r>
      <w:r>
        <w:fldChar w:fldCharType="begin"/>
      </w:r>
      <w:r>
        <w:instrText xml:space="preserve"> PAGEREF _Toc12604 \h </w:instrText>
      </w:r>
      <w:r>
        <w:fldChar w:fldCharType="separate"/>
      </w:r>
      <w:r>
        <w:t>２８</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_Toc8096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三、 项目成员技术要求</w:t>
      </w:r>
      <w:r>
        <w:tab/>
      </w:r>
      <w:r>
        <w:fldChar w:fldCharType="begin"/>
      </w:r>
      <w:r>
        <w:instrText xml:space="preserve"> PAGEREF _Toc8096 \h </w:instrText>
      </w:r>
      <w:r>
        <w:fldChar w:fldCharType="separate"/>
      </w:r>
      <w:r>
        <w:t>２９</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_Toc23455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四、 上线时间要求</w:t>
      </w:r>
      <w:r>
        <w:tab/>
      </w:r>
      <w:r>
        <w:fldChar w:fldCharType="begin"/>
      </w:r>
      <w:r>
        <w:instrText xml:space="preserve"> PAGEREF _Toc23455 \h </w:instrText>
      </w:r>
      <w:r>
        <w:fldChar w:fldCharType="separate"/>
      </w:r>
      <w:r>
        <w:t>２９</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_Toc26258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五、 集成要求</w:t>
      </w:r>
      <w:r>
        <w:tab/>
      </w:r>
      <w:r>
        <w:fldChar w:fldCharType="begin"/>
      </w:r>
      <w:r>
        <w:instrText xml:space="preserve"> PAGEREF _Toc26258 \h </w:instrText>
      </w:r>
      <w:r>
        <w:fldChar w:fldCharType="separate"/>
      </w:r>
      <w:r>
        <w:t>３０</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_Toc19350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六、 售后服务要求</w:t>
      </w:r>
      <w:r>
        <w:tab/>
      </w:r>
      <w:r>
        <w:fldChar w:fldCharType="begin"/>
      </w:r>
      <w:r>
        <w:instrText xml:space="preserve"> PAGEREF _Toc19350 \h </w:instrText>
      </w:r>
      <w:r>
        <w:fldChar w:fldCharType="separate"/>
      </w:r>
      <w:r>
        <w:t>３１</w:t>
      </w:r>
      <w:r>
        <w:fldChar w:fldCharType="end"/>
      </w:r>
      <w:r>
        <w:rPr>
          <w:rFonts w:hint="eastAsia" w:ascii="微软雅黑" w:hAnsi="微软雅黑" w:eastAsia="微软雅黑" w:cs="黑体"/>
          <w:bCs/>
          <w:kern w:val="0"/>
          <w:szCs w:val="20"/>
          <w:lang w:val="zh-CN" w:eastAsia="zh-CN" w:bidi="ar-SA"/>
        </w:rPr>
        <w:fldChar w:fldCharType="end"/>
      </w:r>
    </w:p>
    <w:p>
      <w:pPr>
        <w:pStyle w:val="22"/>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_Toc738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第五部分：投标文件格式文本</w:t>
      </w:r>
      <w:r>
        <w:tab/>
      </w:r>
      <w:r>
        <w:fldChar w:fldCharType="begin"/>
      </w:r>
      <w:r>
        <w:instrText xml:space="preserve"> PAGEREF _Toc738 \h </w:instrText>
      </w:r>
      <w:r>
        <w:fldChar w:fldCharType="separate"/>
      </w:r>
      <w:r>
        <w:t>３２</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_Toc550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一、 投标文件（商务标格式）</w:t>
      </w:r>
      <w:r>
        <w:tab/>
      </w:r>
      <w:r>
        <w:fldChar w:fldCharType="begin"/>
      </w:r>
      <w:r>
        <w:instrText xml:space="preserve"> PAGEREF _Toc550 \h </w:instrText>
      </w:r>
      <w:r>
        <w:fldChar w:fldCharType="separate"/>
      </w:r>
      <w:r>
        <w:t>３２</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_Toc19539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szCs w:val="21"/>
        </w:rPr>
        <w:t>附录一：法定代表人资格证明书</w:t>
      </w:r>
      <w:r>
        <w:tab/>
      </w:r>
      <w:r>
        <w:fldChar w:fldCharType="begin"/>
      </w:r>
      <w:r>
        <w:instrText xml:space="preserve"> PAGEREF _Toc19539 \h </w:instrText>
      </w:r>
      <w:r>
        <w:fldChar w:fldCharType="separate"/>
      </w:r>
      <w:r>
        <w:t>３３</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_Toc12172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szCs w:val="21"/>
        </w:rPr>
        <w:t>附录二：法定代表人授权委托书</w:t>
      </w:r>
      <w:r>
        <w:tab/>
      </w:r>
      <w:r>
        <w:fldChar w:fldCharType="begin"/>
      </w:r>
      <w:r>
        <w:instrText xml:space="preserve"> PAGEREF _Toc12172 \h </w:instrText>
      </w:r>
      <w:r>
        <w:fldChar w:fldCharType="separate"/>
      </w:r>
      <w:r>
        <w:t>３４</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_Toc13202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szCs w:val="21"/>
        </w:rPr>
        <w:t>附录三：投 标 书</w:t>
      </w:r>
      <w:r>
        <w:tab/>
      </w:r>
      <w:r>
        <w:fldChar w:fldCharType="begin"/>
      </w:r>
      <w:r>
        <w:instrText xml:space="preserve"> PAGEREF _Toc13202 \h </w:instrText>
      </w:r>
      <w:r>
        <w:fldChar w:fldCharType="separate"/>
      </w:r>
      <w:r>
        <w:t>３５</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_Toc1440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szCs w:val="21"/>
        </w:rPr>
        <w:t>附录四：商务偏离表</w:t>
      </w:r>
      <w:r>
        <w:tab/>
      </w:r>
      <w:r>
        <w:fldChar w:fldCharType="begin"/>
      </w:r>
      <w:r>
        <w:instrText xml:space="preserve"> PAGEREF _Toc1440 \h </w:instrText>
      </w:r>
      <w:r>
        <w:fldChar w:fldCharType="separate"/>
      </w:r>
      <w:r>
        <w:t>３６</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_Toc32646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szCs w:val="21"/>
        </w:rPr>
        <w:t>附录五：承诺书</w:t>
      </w:r>
      <w:r>
        <w:tab/>
      </w:r>
      <w:r>
        <w:fldChar w:fldCharType="begin"/>
      </w:r>
      <w:r>
        <w:instrText xml:space="preserve"> PAGEREF _Toc32646 \h </w:instrText>
      </w:r>
      <w:r>
        <w:fldChar w:fldCharType="separate"/>
      </w:r>
      <w:r>
        <w:t>３７</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_Toc25170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szCs w:val="24"/>
        </w:rPr>
        <w:t>二、 投标文件（技术标格式）</w:t>
      </w:r>
      <w:r>
        <w:tab/>
      </w:r>
      <w:r>
        <w:fldChar w:fldCharType="begin"/>
      </w:r>
      <w:r>
        <w:instrText xml:space="preserve"> PAGEREF _Toc25170 \h </w:instrText>
      </w:r>
      <w:r>
        <w:fldChar w:fldCharType="separate"/>
      </w:r>
      <w:r>
        <w:t>３８</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_Toc9826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szCs w:val="21"/>
        </w:rPr>
        <w:t>附录六：投标人最近三年已完成（或正在实施的）与招标内容类似项目一览表</w:t>
      </w:r>
      <w:r>
        <w:tab/>
      </w:r>
      <w:r>
        <w:fldChar w:fldCharType="begin"/>
      </w:r>
      <w:r>
        <w:instrText xml:space="preserve"> PAGEREF _Toc9826 \h </w:instrText>
      </w:r>
      <w:r>
        <w:fldChar w:fldCharType="separate"/>
      </w:r>
      <w:r>
        <w:t>３９</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_Toc15112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附录七：投标人承担本项目主要专业技术人员一览表</w:t>
      </w:r>
      <w:r>
        <w:tab/>
      </w:r>
      <w:r>
        <w:fldChar w:fldCharType="begin"/>
      </w:r>
      <w:r>
        <w:instrText xml:space="preserve"> PAGEREF _Toc15112 \h </w:instrText>
      </w:r>
      <w:r>
        <w:fldChar w:fldCharType="separate"/>
      </w:r>
      <w:r>
        <w:t>４０</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9641"/>
        </w:tabs>
      </w:pPr>
      <w:r>
        <w:rPr>
          <w:rFonts w:hint="eastAsia" w:ascii="微软雅黑" w:hAnsi="微软雅黑" w:eastAsia="微软雅黑" w:cs="黑体"/>
          <w:bCs/>
          <w:kern w:val="0"/>
          <w:szCs w:val="20"/>
          <w:lang w:val="zh-CN" w:eastAsia="zh-CN" w:bidi="ar-SA"/>
        </w:rPr>
        <w:fldChar w:fldCharType="begin"/>
      </w:r>
      <w:r>
        <w:rPr>
          <w:rFonts w:hint="eastAsia" w:ascii="微软雅黑" w:hAnsi="微软雅黑" w:eastAsia="微软雅黑" w:cs="黑体"/>
          <w:bCs/>
          <w:kern w:val="0"/>
          <w:szCs w:val="20"/>
          <w:lang w:val="zh-CN" w:eastAsia="zh-CN" w:bidi="ar-SA"/>
        </w:rPr>
        <w:instrText xml:space="preserve"> HYPERLINK \l _Toc10248 </w:instrText>
      </w:r>
      <w:r>
        <w:rPr>
          <w:rFonts w:hint="eastAsia" w:ascii="微软雅黑" w:hAnsi="微软雅黑" w:eastAsia="微软雅黑" w:cs="黑体"/>
          <w:bCs/>
          <w:kern w:val="0"/>
          <w:szCs w:val="20"/>
          <w:lang w:val="zh-CN" w:eastAsia="zh-CN" w:bidi="ar-SA"/>
        </w:rPr>
        <w:fldChar w:fldCharType="separate"/>
      </w:r>
      <w:r>
        <w:rPr>
          <w:rFonts w:hint="eastAsia" w:ascii="微软雅黑" w:hAnsi="微软雅黑" w:eastAsia="微软雅黑"/>
        </w:rPr>
        <w:t>附录八：技术规格偏差表</w:t>
      </w:r>
      <w:r>
        <w:tab/>
      </w:r>
      <w:r>
        <w:fldChar w:fldCharType="begin"/>
      </w:r>
      <w:r>
        <w:instrText xml:space="preserve"> PAGEREF _Toc10248 \h </w:instrText>
      </w:r>
      <w:r>
        <w:fldChar w:fldCharType="separate"/>
      </w:r>
      <w:r>
        <w:t>４２</w:t>
      </w:r>
      <w:r>
        <w:fldChar w:fldCharType="end"/>
      </w:r>
      <w:r>
        <w:rPr>
          <w:rFonts w:hint="eastAsia" w:ascii="微软雅黑" w:hAnsi="微软雅黑" w:eastAsia="微软雅黑" w:cs="黑体"/>
          <w:bCs/>
          <w:kern w:val="0"/>
          <w:szCs w:val="20"/>
          <w:lang w:val="zh-CN" w:eastAsia="zh-CN" w:bidi="ar-SA"/>
        </w:rPr>
        <w:fldChar w:fldCharType="end"/>
      </w:r>
    </w:p>
    <w:p>
      <w:pPr>
        <w:pStyle w:val="27"/>
        <w:tabs>
          <w:tab w:val="right" w:leader="dot" w:pos="8842"/>
        </w:tabs>
        <w:rPr>
          <w:rFonts w:ascii="微软雅黑" w:hAnsi="微软雅黑" w:eastAsia="微软雅黑"/>
          <w:kern w:val="2"/>
          <w:sz w:val="20"/>
          <w:szCs w:val="20"/>
        </w:rPr>
      </w:pPr>
      <w:r>
        <w:rPr>
          <w:rFonts w:hint="eastAsia" w:ascii="微软雅黑" w:hAnsi="微软雅黑" w:eastAsia="微软雅黑" w:cs="黑体"/>
          <w:bCs/>
          <w:kern w:val="0"/>
          <w:szCs w:val="20"/>
          <w:lang w:val="zh-CN" w:eastAsia="zh-CN" w:bidi="ar-SA"/>
        </w:rPr>
        <w:fldChar w:fldCharType="end"/>
      </w:r>
    </w:p>
    <w:p>
      <w:pPr>
        <w:pStyle w:val="3"/>
        <w:ind w:left="900"/>
        <w:jc w:val="center"/>
        <w:rPr>
          <w:rFonts w:ascii="微软雅黑" w:hAnsi="微软雅黑" w:eastAsia="微软雅黑"/>
        </w:rPr>
        <w:sectPr>
          <w:footerReference r:id="rId5" w:type="default"/>
          <w:pgSz w:w="11909" w:h="16834"/>
          <w:pgMar w:top="1440" w:right="1134" w:bottom="1440" w:left="1134" w:header="0" w:footer="907" w:gutter="0"/>
          <w:pgNumType w:fmt="decimalFullWidth"/>
          <w:cols w:space="0" w:num="1"/>
          <w:docGrid w:linePitch="286" w:charSpace="0"/>
        </w:sectPr>
      </w:pPr>
    </w:p>
    <w:p>
      <w:pPr>
        <w:pStyle w:val="3"/>
        <w:jc w:val="center"/>
        <w:rPr>
          <w:rFonts w:ascii="微软雅黑" w:hAnsi="微软雅黑" w:eastAsia="微软雅黑"/>
        </w:rPr>
      </w:pPr>
      <w:bookmarkStart w:id="2" w:name="_Toc15712"/>
      <w:r>
        <w:rPr>
          <w:rFonts w:hint="eastAsia" w:ascii="微软雅黑" w:hAnsi="微软雅黑" w:eastAsia="微软雅黑"/>
        </w:rPr>
        <w:t>第一部分：招标邀请</w:t>
      </w:r>
      <w:bookmarkEnd w:id="2"/>
    </w:p>
    <w:p>
      <w:pPr>
        <w:pStyle w:val="38"/>
        <w:numPr>
          <w:ilvl w:val="0"/>
          <w:numId w:val="2"/>
        </w:numPr>
        <w:spacing w:line="360" w:lineRule="auto"/>
        <w:ind w:firstLineChars="0"/>
        <w:rPr>
          <w:rFonts w:ascii="微软雅黑" w:hAnsi="微软雅黑" w:eastAsia="微软雅黑"/>
          <w:szCs w:val="20"/>
        </w:rPr>
      </w:pPr>
      <w:r>
        <w:rPr>
          <w:rFonts w:hint="eastAsia" w:ascii="微软雅黑" w:hAnsi="微软雅黑" w:eastAsia="微软雅黑"/>
          <w:szCs w:val="20"/>
        </w:rPr>
        <w:t>招标说明</w:t>
      </w:r>
    </w:p>
    <w:p>
      <w:pPr>
        <w:pStyle w:val="38"/>
        <w:spacing w:line="360" w:lineRule="auto"/>
        <w:ind w:left="360"/>
        <w:rPr>
          <w:rFonts w:hint="eastAsia" w:ascii="微软雅黑" w:hAnsi="微软雅黑" w:eastAsia="微软雅黑"/>
          <w:szCs w:val="20"/>
          <w:lang w:eastAsia="zh-CN"/>
        </w:rPr>
      </w:pPr>
      <w:r>
        <w:rPr>
          <w:rFonts w:hint="eastAsia" w:ascii="微软雅黑" w:hAnsi="微软雅黑" w:eastAsia="微软雅黑"/>
          <w:szCs w:val="20"/>
        </w:rPr>
        <w:t>廊坊银行股份有限公司（以下简称廊坊银行）于2000年12月29日正式成立，是国家法定金融机构，原名为廊坊市商业银行。2008年12月，正式更名为廊坊银行，是河北省第一家更名的城市商业银行。</w:t>
      </w:r>
      <w:r>
        <w:rPr>
          <w:rFonts w:hint="eastAsia" w:ascii="微软雅黑" w:hAnsi="微软雅黑" w:eastAsia="微软雅黑"/>
          <w:szCs w:val="20"/>
          <w:lang w:eastAsia="zh-CN"/>
        </w:rPr>
        <w:t>目前下辖两家异地分行，</w:t>
      </w:r>
      <w:r>
        <w:rPr>
          <w:rFonts w:hint="eastAsia" w:ascii="微软雅黑" w:hAnsi="微软雅黑" w:eastAsia="微软雅黑"/>
          <w:szCs w:val="20"/>
          <w:lang w:val="en-US" w:eastAsia="zh-CN"/>
        </w:rPr>
        <w:t>超过100家支行网点，2000多名员工，</w:t>
      </w:r>
      <w:r>
        <w:rPr>
          <w:rFonts w:hint="eastAsia" w:ascii="微软雅黑" w:hAnsi="微软雅黑" w:eastAsia="微软雅黑"/>
          <w:szCs w:val="20"/>
        </w:rPr>
        <w:t>2013年7月，廊坊银行顺利完成增资扩股工作，综合实力大幅提升。2014年，站在新起点上的廊坊银行，以改革加速发展，以发展化解风险，为廊坊银行的事业带来了崭新的气象。截止20</w:t>
      </w:r>
      <w:r>
        <w:rPr>
          <w:rFonts w:hint="eastAsia" w:ascii="微软雅黑" w:hAnsi="微软雅黑" w:eastAsia="微软雅黑"/>
          <w:szCs w:val="20"/>
          <w:lang w:val="en-US" w:eastAsia="zh-CN"/>
        </w:rPr>
        <w:t>23</w:t>
      </w:r>
      <w:r>
        <w:rPr>
          <w:rFonts w:hint="eastAsia" w:ascii="微软雅黑" w:hAnsi="微软雅黑" w:eastAsia="微软雅黑"/>
          <w:szCs w:val="20"/>
        </w:rPr>
        <w:t>年</w:t>
      </w:r>
      <w:r>
        <w:rPr>
          <w:rFonts w:hint="eastAsia" w:ascii="微软雅黑" w:hAnsi="微软雅黑" w:eastAsia="微软雅黑"/>
          <w:szCs w:val="20"/>
          <w:lang w:val="en-US" w:eastAsia="zh-CN"/>
        </w:rPr>
        <w:t>年中</w:t>
      </w:r>
      <w:r>
        <w:rPr>
          <w:rFonts w:ascii="微软雅黑" w:hAnsi="微软雅黑" w:eastAsia="微软雅黑"/>
          <w:szCs w:val="20"/>
        </w:rPr>
        <w:t>，</w:t>
      </w:r>
      <w:r>
        <w:rPr>
          <w:rFonts w:hint="eastAsia" w:ascii="微软雅黑" w:hAnsi="微软雅黑" w:eastAsia="微软雅黑"/>
          <w:szCs w:val="20"/>
          <w:lang w:eastAsia="zh-CN"/>
        </w:rPr>
        <w:t>廊坊银行</w:t>
      </w:r>
      <w:r>
        <w:rPr>
          <w:rFonts w:ascii="微软雅黑" w:hAnsi="微软雅黑" w:eastAsia="微软雅黑"/>
          <w:szCs w:val="20"/>
        </w:rPr>
        <w:t>资产总额</w:t>
      </w:r>
      <w:r>
        <w:rPr>
          <w:rFonts w:hint="eastAsia" w:ascii="微软雅黑" w:hAnsi="微软雅黑" w:eastAsia="微软雅黑"/>
          <w:szCs w:val="20"/>
          <w:lang w:eastAsia="zh-CN"/>
        </w:rPr>
        <w:t>超过</w:t>
      </w:r>
      <w:r>
        <w:rPr>
          <w:rFonts w:hint="eastAsia" w:ascii="微软雅黑" w:hAnsi="微软雅黑" w:eastAsia="微软雅黑"/>
          <w:szCs w:val="20"/>
        </w:rPr>
        <w:t>2</w:t>
      </w:r>
      <w:r>
        <w:rPr>
          <w:rFonts w:hint="eastAsia" w:ascii="微软雅黑" w:hAnsi="微软雅黑" w:eastAsia="微软雅黑"/>
          <w:szCs w:val="20"/>
          <w:lang w:val="en-US" w:eastAsia="zh-CN"/>
        </w:rPr>
        <w:t>800</w:t>
      </w:r>
      <w:r>
        <w:rPr>
          <w:rFonts w:ascii="微软雅黑" w:hAnsi="微软雅黑" w:eastAsia="微软雅黑"/>
          <w:szCs w:val="20"/>
        </w:rPr>
        <w:t>亿</w:t>
      </w:r>
      <w:r>
        <w:rPr>
          <w:rFonts w:hint="eastAsia" w:ascii="微软雅黑" w:hAnsi="微软雅黑" w:eastAsia="微软雅黑"/>
          <w:szCs w:val="20"/>
        </w:rPr>
        <w:t>元</w:t>
      </w:r>
      <w:r>
        <w:rPr>
          <w:rFonts w:hint="eastAsia" w:ascii="微软雅黑" w:hAnsi="微软雅黑" w:eastAsia="微软雅黑"/>
          <w:szCs w:val="20"/>
          <w:lang w:eastAsia="zh-CN"/>
        </w:rPr>
        <w:t>。</w:t>
      </w:r>
    </w:p>
    <w:p>
      <w:pPr>
        <w:pStyle w:val="38"/>
        <w:spacing w:line="360" w:lineRule="auto"/>
        <w:ind w:left="360"/>
        <w:rPr>
          <w:rFonts w:hint="default" w:ascii="微软雅黑" w:hAnsi="微软雅黑" w:eastAsia="微软雅黑"/>
          <w:szCs w:val="20"/>
          <w:lang w:val="en-US" w:eastAsia="zh-CN"/>
        </w:rPr>
      </w:pPr>
      <w:r>
        <w:rPr>
          <w:rFonts w:hint="eastAsia" w:ascii="微软雅黑" w:hAnsi="微软雅黑" w:eastAsia="微软雅黑" w:cs="Times New Roman"/>
          <w:szCs w:val="20"/>
          <w:lang w:eastAsia="zh-CN"/>
        </w:rPr>
        <w:t xml:space="preserve"> </w:t>
      </w:r>
      <w:r>
        <w:rPr>
          <w:rFonts w:hint="eastAsia" w:ascii="微软雅黑" w:hAnsi="微软雅黑" w:eastAsia="微软雅黑" w:cs="Times New Roman"/>
          <w:szCs w:val="20"/>
          <w:lang w:val="en-US" w:eastAsia="zh-CN"/>
        </w:rPr>
        <w:t>1.廊坊银行数字化转型决策领导小组会议听取和讨论决策了互联网供应链系统建设方案，同意新建供应链金融管理系统，并就系统建设提出要求，要求金融科技部加快推进供应链金融系统建设进程，同意供应链金融系统建设费用及预算</w:t>
      </w:r>
    </w:p>
    <w:p>
      <w:pPr>
        <w:pStyle w:val="38"/>
        <w:spacing w:line="360" w:lineRule="auto"/>
        <w:ind w:left="360"/>
        <w:rPr>
          <w:rFonts w:hint="eastAsia" w:ascii="微软雅黑" w:hAnsi="微软雅黑" w:eastAsia="微软雅黑" w:cs="Times New Roman"/>
          <w:szCs w:val="20"/>
          <w:lang w:eastAsia="zh-CN"/>
        </w:rPr>
      </w:pPr>
      <w:r>
        <w:rPr>
          <w:rFonts w:hint="eastAsia" w:ascii="微软雅黑" w:hAnsi="微软雅黑" w:eastAsia="微软雅黑" w:cs="Times New Roman"/>
          <w:szCs w:val="20"/>
          <w:lang w:eastAsia="zh-CN"/>
        </w:rPr>
        <w:t xml:space="preserve">2.供应链金融管理系统需要增加网银区专线，网银区专线增加后现有设备接口不足，同时设备使用年限已到，需要采购新的WAF和IPS设备的扩容板卡2块，其中2台WAF老旧设备以旧换新。 </w:t>
      </w:r>
    </w:p>
    <w:p>
      <w:pPr>
        <w:pStyle w:val="38"/>
        <w:spacing w:line="360" w:lineRule="auto"/>
        <w:ind w:left="630" w:leftChars="300" w:firstLine="210" w:firstLineChars="100"/>
        <w:rPr>
          <w:rFonts w:ascii="微软雅黑" w:hAnsi="微软雅黑" w:eastAsia="微软雅黑"/>
          <w:szCs w:val="20"/>
        </w:rPr>
      </w:pPr>
      <w:r>
        <w:rPr>
          <w:rFonts w:hint="eastAsia" w:ascii="微软雅黑" w:hAnsi="微软雅黑" w:eastAsia="微软雅黑"/>
          <w:szCs w:val="20"/>
        </w:rPr>
        <w:t>为达到上述目的，对此次招标作如下说明：</w:t>
      </w:r>
    </w:p>
    <w:p>
      <w:pPr>
        <w:pStyle w:val="38"/>
        <w:spacing w:line="360" w:lineRule="auto"/>
        <w:ind w:left="360"/>
        <w:rPr>
          <w:rFonts w:ascii="微软雅黑" w:hAnsi="微软雅黑" w:eastAsia="微软雅黑"/>
          <w:szCs w:val="20"/>
        </w:rPr>
      </w:pPr>
      <w:r>
        <w:rPr>
          <w:rFonts w:ascii="微软雅黑" w:hAnsi="微软雅黑" w:eastAsia="微软雅黑"/>
          <w:szCs w:val="20"/>
        </w:rPr>
        <w:t>1.1</w:t>
      </w:r>
      <w:r>
        <w:rPr>
          <w:rFonts w:hint="eastAsia" w:ascii="微软雅黑" w:hAnsi="微软雅黑" w:eastAsia="微软雅黑"/>
          <w:szCs w:val="20"/>
        </w:rPr>
        <w:t>本次招标活动是针对“廊</w:t>
      </w:r>
      <w:r>
        <w:rPr>
          <w:rFonts w:hint="eastAsia" w:ascii="微软雅黑" w:hAnsi="微软雅黑" w:eastAsia="微软雅黑"/>
          <w:szCs w:val="20"/>
          <w:lang w:eastAsia="zh-CN"/>
        </w:rPr>
        <w:t>坊银行股份有限公司供应链金融项目-网络设备采购</w:t>
      </w:r>
      <w:r>
        <w:rPr>
          <w:rFonts w:hint="eastAsia" w:ascii="微软雅黑" w:hAnsi="微软雅黑" w:eastAsia="微软雅黑"/>
          <w:szCs w:val="20"/>
        </w:rPr>
        <w:t>”进行的招标，旨在通过本次招标活动选择符合项目需求的供应商。</w:t>
      </w:r>
    </w:p>
    <w:p>
      <w:pPr>
        <w:pStyle w:val="38"/>
        <w:spacing w:line="360" w:lineRule="auto"/>
        <w:ind w:left="360"/>
        <w:rPr>
          <w:rFonts w:ascii="微软雅黑" w:hAnsi="微软雅黑" w:eastAsia="微软雅黑"/>
          <w:szCs w:val="20"/>
        </w:rPr>
      </w:pPr>
      <w:r>
        <w:rPr>
          <w:rFonts w:hint="eastAsia" w:ascii="微软雅黑" w:hAnsi="微软雅黑" w:eastAsia="微软雅黑"/>
          <w:szCs w:val="20"/>
        </w:rPr>
        <w:t>1.2  按照本招标文件的要求：投标人中标后，与“廊坊银行股份有限公司”签订合作协议。</w:t>
      </w:r>
    </w:p>
    <w:p>
      <w:pPr>
        <w:pStyle w:val="38"/>
        <w:spacing w:line="360" w:lineRule="auto"/>
        <w:ind w:left="360"/>
        <w:rPr>
          <w:rFonts w:ascii="微软雅黑" w:hAnsi="微软雅黑" w:eastAsia="微软雅黑"/>
          <w:szCs w:val="20"/>
        </w:rPr>
      </w:pPr>
      <w:r>
        <w:rPr>
          <w:rFonts w:ascii="微软雅黑" w:hAnsi="微软雅黑" w:eastAsia="微软雅黑"/>
          <w:szCs w:val="20"/>
        </w:rPr>
        <w:t>1.</w:t>
      </w:r>
      <w:r>
        <w:rPr>
          <w:rFonts w:hint="eastAsia" w:ascii="微软雅黑" w:hAnsi="微软雅黑" w:eastAsia="微软雅黑"/>
          <w:szCs w:val="20"/>
        </w:rPr>
        <w:t>3  各投标人在投标文件中，必须对如下事项做出具有法律效力的确认：本次投标文件的有效期为90个日历天（如签订合作协议，则投标价格在协议期内一直保持有效），对招标文件中质量要求等内容是否全部接受或部分接受，在投标文件中必须明确。此次招标文件、招标补充说明及投标文件、投标补充文件将成为合作协议不可分割的组成部分。</w:t>
      </w:r>
    </w:p>
    <w:p>
      <w:pPr>
        <w:pStyle w:val="38"/>
        <w:spacing w:line="360" w:lineRule="auto"/>
        <w:ind w:left="360"/>
        <w:rPr>
          <w:rFonts w:ascii="微软雅黑" w:hAnsi="微软雅黑" w:eastAsia="微软雅黑"/>
          <w:szCs w:val="20"/>
        </w:rPr>
      </w:pPr>
      <w:r>
        <w:rPr>
          <w:rFonts w:hint="eastAsia" w:ascii="微软雅黑" w:hAnsi="微软雅黑" w:eastAsia="微软雅黑"/>
          <w:szCs w:val="20"/>
        </w:rPr>
        <w:t>1.4“廊坊银行股份有限公司”对经审批确定为入围单位的投标人进行</w:t>
      </w:r>
      <w:r>
        <w:rPr>
          <w:rFonts w:hint="eastAsia" w:ascii="微软雅黑" w:hAnsi="微软雅黑" w:eastAsia="微软雅黑" w:cs="Times New Roman"/>
          <w:szCs w:val="20"/>
          <w:lang w:eastAsia="zh-CN"/>
        </w:rPr>
        <w:t>公开招标</w:t>
      </w:r>
      <w:r>
        <w:rPr>
          <w:rFonts w:hint="eastAsia" w:ascii="微软雅黑" w:hAnsi="微软雅黑" w:eastAsia="微软雅黑"/>
          <w:szCs w:val="20"/>
        </w:rPr>
        <w:t>。</w:t>
      </w:r>
    </w:p>
    <w:p>
      <w:pPr>
        <w:widowControl/>
        <w:jc w:val="left"/>
        <w:rPr>
          <w:rFonts w:ascii="微软雅黑" w:hAnsi="微软雅黑" w:eastAsia="微软雅黑"/>
          <w:szCs w:val="20"/>
        </w:rPr>
      </w:pPr>
    </w:p>
    <w:p>
      <w:pPr>
        <w:pStyle w:val="3"/>
        <w:jc w:val="center"/>
        <w:rPr>
          <w:rFonts w:ascii="微软雅黑" w:hAnsi="微软雅黑" w:eastAsia="微软雅黑"/>
        </w:rPr>
      </w:pPr>
      <w:bookmarkStart w:id="3" w:name="_Toc23974"/>
      <w:r>
        <w:rPr>
          <w:rFonts w:hint="eastAsia" w:ascii="微软雅黑" w:hAnsi="微软雅黑" w:eastAsia="微软雅黑"/>
        </w:rPr>
        <w:t>第二部分：投标须知</w:t>
      </w:r>
      <w:bookmarkEnd w:id="3"/>
    </w:p>
    <w:p>
      <w:pPr>
        <w:pStyle w:val="24"/>
        <w:rPr>
          <w:rFonts w:ascii="微软雅黑" w:hAnsi="微软雅黑" w:eastAsia="微软雅黑"/>
        </w:rPr>
      </w:pPr>
      <w:bookmarkStart w:id="4" w:name="_Toc23665"/>
      <w:r>
        <w:rPr>
          <w:rFonts w:hint="eastAsia" w:ascii="微软雅黑" w:hAnsi="微软雅黑" w:eastAsia="微软雅黑"/>
        </w:rPr>
        <w:t>一、前附表</w:t>
      </w:r>
      <w:bookmarkEnd w:id="4"/>
    </w:p>
    <w:tbl>
      <w:tblPr>
        <w:tblStyle w:val="32"/>
        <w:tblpPr w:leftFromText="180" w:rightFromText="180" w:vertAnchor="text" w:tblpX="1" w:tblpY="1"/>
        <w:tblOverlap w:val="never"/>
        <w:tblW w:w="97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728"/>
        <w:gridCol w:w="850"/>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pStyle w:val="15"/>
              <w:spacing w:line="440" w:lineRule="exact"/>
              <w:rPr>
                <w:rFonts w:ascii="微软雅黑" w:hAnsi="微软雅黑" w:eastAsia="微软雅黑"/>
              </w:rPr>
            </w:pPr>
            <w:r>
              <w:rPr>
                <w:rFonts w:hint="eastAsia" w:ascii="微软雅黑" w:hAnsi="微软雅黑" w:eastAsia="微软雅黑"/>
              </w:rPr>
              <w:t>招标名称</w:t>
            </w:r>
          </w:p>
        </w:tc>
        <w:tc>
          <w:tcPr>
            <w:tcW w:w="7539" w:type="dxa"/>
            <w:gridSpan w:val="3"/>
            <w:vAlign w:val="center"/>
          </w:tcPr>
          <w:p>
            <w:pPr>
              <w:pStyle w:val="15"/>
              <w:spacing w:line="440" w:lineRule="exact"/>
              <w:rPr>
                <w:rFonts w:hint="eastAsia" w:ascii="微软雅黑" w:hAnsi="微软雅黑" w:eastAsia="微软雅黑"/>
                <w:lang w:eastAsia="zh-CN"/>
              </w:rPr>
            </w:pPr>
            <w:r>
              <w:rPr>
                <w:rFonts w:hint="eastAsia" w:ascii="微软雅黑" w:hAnsi="微软雅黑" w:eastAsia="微软雅黑"/>
                <w:szCs w:val="20"/>
              </w:rPr>
              <w:t>廊</w:t>
            </w:r>
            <w:r>
              <w:rPr>
                <w:rFonts w:hint="eastAsia" w:ascii="微软雅黑" w:hAnsi="微软雅黑" w:eastAsia="微软雅黑"/>
                <w:szCs w:val="20"/>
                <w:lang w:eastAsia="zh-CN"/>
              </w:rPr>
              <w:t>坊银行股份有限公司供应链金融项目-网络设备采购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Merge w:val="restart"/>
            <w:vAlign w:val="center"/>
          </w:tcPr>
          <w:p>
            <w:pPr>
              <w:pStyle w:val="15"/>
              <w:spacing w:line="440" w:lineRule="exact"/>
              <w:rPr>
                <w:rFonts w:ascii="微软雅黑" w:hAnsi="微软雅黑" w:eastAsia="微软雅黑"/>
              </w:rPr>
            </w:pPr>
            <w:r>
              <w:rPr>
                <w:rFonts w:hint="eastAsia" w:ascii="微软雅黑" w:hAnsi="微软雅黑" w:eastAsia="微软雅黑"/>
              </w:rPr>
              <w:t>联 系 人</w:t>
            </w:r>
          </w:p>
        </w:tc>
        <w:tc>
          <w:tcPr>
            <w:tcW w:w="1728" w:type="dxa"/>
            <w:vAlign w:val="center"/>
          </w:tcPr>
          <w:p>
            <w:pPr>
              <w:pStyle w:val="15"/>
              <w:spacing w:line="440" w:lineRule="exact"/>
              <w:rPr>
                <w:rFonts w:ascii="微软雅黑" w:hAnsi="微软雅黑" w:eastAsia="微软雅黑"/>
              </w:rPr>
            </w:pPr>
            <w:r>
              <w:rPr>
                <w:rFonts w:hint="eastAsia" w:ascii="微软雅黑" w:hAnsi="微软雅黑" w:eastAsia="微软雅黑" w:cs="Times New Roman"/>
                <w:snapToGrid w:val="0"/>
                <w:sz w:val="20"/>
                <w:szCs w:val="20"/>
                <w:lang w:val="en-US" w:eastAsia="zh-CN"/>
              </w:rPr>
              <w:t>韩佳旭</w:t>
            </w:r>
            <w:r>
              <w:rPr>
                <w:rFonts w:hint="eastAsia" w:ascii="微软雅黑" w:hAnsi="微软雅黑" w:eastAsia="微软雅黑" w:cs="Times New Roman"/>
                <w:snapToGrid w:val="0"/>
                <w:sz w:val="20"/>
                <w:szCs w:val="20"/>
                <w:lang w:eastAsia="zh-CN"/>
              </w:rPr>
              <w:t>（商务）</w:t>
            </w:r>
          </w:p>
        </w:tc>
        <w:tc>
          <w:tcPr>
            <w:tcW w:w="850" w:type="dxa"/>
            <w:vAlign w:val="center"/>
          </w:tcPr>
          <w:p>
            <w:pPr>
              <w:pStyle w:val="15"/>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5"/>
              <w:spacing w:line="440" w:lineRule="exact"/>
              <w:rPr>
                <w:rFonts w:ascii="Times New Roman" w:hAnsi="Times New Roman"/>
              </w:rPr>
            </w:pPr>
            <w:r>
              <w:rPr>
                <w:rFonts w:hint="eastAsia" w:ascii="微软雅黑" w:hAnsi="微软雅黑" w:eastAsia="微软雅黑" w:cs="Times New Roman"/>
                <w:snapToGrid w:val="0"/>
                <w:sz w:val="20"/>
                <w:szCs w:val="20"/>
                <w:lang w:eastAsia="zh-CN"/>
              </w:rPr>
              <w:t>0</w:t>
            </w:r>
            <w:r>
              <w:rPr>
                <w:rFonts w:hint="eastAsia" w:ascii="微软雅黑" w:hAnsi="微软雅黑" w:eastAsia="微软雅黑" w:cs="Times New Roman"/>
                <w:snapToGrid w:val="0"/>
                <w:sz w:val="20"/>
                <w:szCs w:val="20"/>
                <w:lang w:val="en-US" w:eastAsia="zh-CN"/>
              </w:rPr>
              <w:t>316-2631706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Merge w:val="continue"/>
            <w:vAlign w:val="center"/>
          </w:tcPr>
          <w:p>
            <w:pPr>
              <w:pStyle w:val="15"/>
              <w:spacing w:line="440" w:lineRule="exact"/>
              <w:rPr>
                <w:rFonts w:ascii="微软雅黑" w:hAnsi="微软雅黑" w:eastAsia="微软雅黑"/>
              </w:rPr>
            </w:pPr>
          </w:p>
        </w:tc>
        <w:tc>
          <w:tcPr>
            <w:tcW w:w="1728" w:type="dxa"/>
            <w:vAlign w:val="center"/>
          </w:tcPr>
          <w:p>
            <w:pPr>
              <w:pStyle w:val="15"/>
              <w:spacing w:line="440" w:lineRule="exact"/>
              <w:rPr>
                <w:rFonts w:ascii="微软雅黑" w:hAnsi="微软雅黑" w:eastAsia="微软雅黑"/>
              </w:rPr>
            </w:pPr>
            <w:r>
              <w:rPr>
                <w:rFonts w:hint="eastAsia" w:ascii="微软雅黑" w:hAnsi="微软雅黑" w:eastAsia="微软雅黑" w:cs="Times New Roman"/>
                <w:snapToGrid w:val="0"/>
                <w:sz w:val="20"/>
                <w:szCs w:val="20"/>
                <w:lang w:eastAsia="zh-CN"/>
              </w:rPr>
              <w:t>王春宇（技术）</w:t>
            </w:r>
          </w:p>
        </w:tc>
        <w:tc>
          <w:tcPr>
            <w:tcW w:w="850" w:type="dxa"/>
            <w:vAlign w:val="center"/>
          </w:tcPr>
          <w:p>
            <w:pPr>
              <w:pStyle w:val="15"/>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1</w:t>
            </w:r>
            <w:r>
              <w:rPr>
                <w:rFonts w:hint="eastAsia" w:ascii="微软雅黑" w:hAnsi="微软雅黑" w:eastAsia="微软雅黑"/>
                <w:snapToGrid w:val="0"/>
                <w:sz w:val="20"/>
                <w:lang w:val="en-US" w:eastAsia="zh-CN"/>
              </w:rPr>
              <w:t>8511085110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Merge w:val="continue"/>
            <w:vAlign w:val="center"/>
          </w:tcPr>
          <w:p>
            <w:pPr>
              <w:pStyle w:val="15"/>
              <w:spacing w:line="440" w:lineRule="exact"/>
              <w:rPr>
                <w:rFonts w:ascii="微软雅黑" w:hAnsi="微软雅黑" w:eastAsia="微软雅黑"/>
              </w:rPr>
            </w:pPr>
          </w:p>
        </w:tc>
        <w:tc>
          <w:tcPr>
            <w:tcW w:w="1728" w:type="dxa"/>
            <w:vAlign w:val="center"/>
          </w:tcPr>
          <w:p>
            <w:pPr>
              <w:pStyle w:val="15"/>
              <w:spacing w:line="440" w:lineRule="exact"/>
              <w:rPr>
                <w:rFonts w:ascii="微软雅黑" w:hAnsi="微软雅黑" w:eastAsia="微软雅黑"/>
              </w:rPr>
            </w:pPr>
            <w:r>
              <w:rPr>
                <w:rFonts w:hint="eastAsia" w:ascii="微软雅黑" w:hAnsi="微软雅黑" w:eastAsia="微软雅黑"/>
              </w:rPr>
              <w:t>陈</w:t>
            </w:r>
            <w:r>
              <w:rPr>
                <w:rFonts w:hint="eastAsia" w:ascii="微软雅黑" w:hAnsi="微软雅黑" w:eastAsia="微软雅黑"/>
                <w:lang w:val="en-US" w:eastAsia="zh-CN"/>
              </w:rPr>
              <w:t xml:space="preserve"> </w:t>
            </w:r>
            <w:r>
              <w:rPr>
                <w:rFonts w:hint="eastAsia" w:ascii="微软雅黑" w:hAnsi="微软雅黑" w:eastAsia="微软雅黑"/>
              </w:rPr>
              <w:t>根（技术）</w:t>
            </w:r>
          </w:p>
        </w:tc>
        <w:tc>
          <w:tcPr>
            <w:tcW w:w="850" w:type="dxa"/>
            <w:vAlign w:val="center"/>
          </w:tcPr>
          <w:p>
            <w:pPr>
              <w:pStyle w:val="15"/>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5"/>
              <w:spacing w:line="440" w:lineRule="exact"/>
              <w:rPr>
                <w:rFonts w:ascii="Times New Roman" w:hAnsi="Times New Roman"/>
              </w:rPr>
            </w:pPr>
            <w:r>
              <w:rPr>
                <w:rFonts w:hint="eastAsia" w:ascii="微软雅黑" w:hAnsi="微软雅黑" w:eastAsia="微软雅黑"/>
                <w:snapToGrid w:val="0"/>
                <w:sz w:val="20"/>
              </w:rPr>
              <w:t>13303360668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招标方式</w:t>
            </w:r>
          </w:p>
        </w:tc>
        <w:tc>
          <w:tcPr>
            <w:tcW w:w="7539" w:type="dxa"/>
            <w:gridSpan w:val="3"/>
            <w:vAlign w:val="center"/>
          </w:tcPr>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lang w:eastAsia="zh-CN"/>
              </w:rPr>
              <w:t>公开</w:t>
            </w:r>
            <w:r>
              <w:rPr>
                <w:rFonts w:hint="eastAsia" w:ascii="微软雅黑" w:hAnsi="微软雅黑" w:eastAsia="微软雅黑"/>
                <w:snapToGrid w:val="0"/>
                <w:sz w:val="20"/>
              </w:rPr>
              <w:t>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pStyle w:val="15"/>
              <w:spacing w:line="440" w:lineRule="exact"/>
              <w:rPr>
                <w:rFonts w:hint="eastAsia" w:ascii="微软雅黑" w:hAnsi="微软雅黑" w:eastAsia="微软雅黑"/>
                <w:snapToGrid w:val="0"/>
                <w:sz w:val="20"/>
                <w:lang w:eastAsia="zh-CN"/>
              </w:rPr>
            </w:pPr>
            <w:r>
              <w:rPr>
                <w:rFonts w:hint="eastAsia" w:ascii="微软雅黑" w:hAnsi="微软雅黑" w:eastAsia="微软雅黑"/>
                <w:snapToGrid w:val="0"/>
                <w:sz w:val="20"/>
                <w:lang w:eastAsia="zh-CN"/>
              </w:rPr>
              <w:t>招标文件领取方式</w:t>
            </w:r>
          </w:p>
        </w:tc>
        <w:tc>
          <w:tcPr>
            <w:tcW w:w="7539" w:type="dxa"/>
            <w:gridSpan w:val="3"/>
            <w:vAlign w:val="center"/>
          </w:tcPr>
          <w:p>
            <w:pPr>
              <w:pStyle w:val="15"/>
              <w:spacing w:line="440" w:lineRule="exact"/>
              <w:rPr>
                <w:rFonts w:hint="eastAsia" w:ascii="微软雅黑" w:hAnsi="微软雅黑" w:eastAsia="微软雅黑"/>
                <w:snapToGrid w:val="0"/>
                <w:sz w:val="20"/>
                <w:lang w:eastAsia="zh-CN"/>
              </w:rPr>
            </w:pPr>
            <w:r>
              <w:rPr>
                <w:rFonts w:hint="eastAsia" w:ascii="微软雅黑" w:hAnsi="微软雅黑" w:eastAsia="微软雅黑" w:cs="Times New Roman"/>
                <w:snapToGrid w:val="0"/>
                <w:sz w:val="20"/>
                <w:szCs w:val="20"/>
              </w:rPr>
              <w:t>廊坊银行股份有限公司</w:t>
            </w:r>
            <w:r>
              <w:rPr>
                <w:rFonts w:hint="eastAsia" w:ascii="微软雅黑" w:hAnsi="微软雅黑" w:eastAsia="微软雅黑" w:cs="Times New Roman"/>
                <w:snapToGrid w:val="0"/>
                <w:sz w:val="20"/>
                <w:szCs w:val="20"/>
                <w:lang w:val="en-US" w:eastAsia="zh-CN"/>
              </w:rPr>
              <w:t>官网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tcBorders>
              <w:bottom w:val="single" w:color="auto" w:sz="8" w:space="0"/>
            </w:tcBorders>
            <w:vAlign w:val="center"/>
          </w:tcPr>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招标内容</w:t>
            </w:r>
          </w:p>
        </w:tc>
        <w:tc>
          <w:tcPr>
            <w:tcW w:w="7539" w:type="dxa"/>
            <w:gridSpan w:val="3"/>
            <w:tcBorders>
              <w:bottom w:val="single" w:color="auto" w:sz="8" w:space="0"/>
            </w:tcBorders>
            <w:vAlign w:val="center"/>
          </w:tcPr>
          <w:p>
            <w:pPr>
              <w:pStyle w:val="15"/>
              <w:spacing w:line="440" w:lineRule="exact"/>
              <w:rPr>
                <w:rFonts w:hint="eastAsia" w:ascii="微软雅黑" w:hAnsi="微软雅黑" w:eastAsia="微软雅黑"/>
                <w:snapToGrid w:val="0"/>
                <w:sz w:val="20"/>
                <w:lang w:eastAsia="zh-CN"/>
              </w:rPr>
            </w:pPr>
            <w:r>
              <w:rPr>
                <w:rFonts w:hint="eastAsia" w:ascii="微软雅黑" w:hAnsi="微软雅黑" w:eastAsia="微软雅黑" w:cs="Times New Roman"/>
                <w:snapToGrid w:val="0"/>
                <w:sz w:val="20"/>
                <w:szCs w:val="20"/>
              </w:rPr>
              <w:t>廊</w:t>
            </w:r>
            <w:r>
              <w:rPr>
                <w:rFonts w:hint="eastAsia" w:ascii="微软雅黑" w:hAnsi="微软雅黑" w:eastAsia="微软雅黑" w:cs="Times New Roman"/>
                <w:snapToGrid w:val="0"/>
                <w:sz w:val="20"/>
                <w:szCs w:val="20"/>
                <w:lang w:eastAsia="zh-CN"/>
              </w:rPr>
              <w:t>坊银行股份有限公司供应链金融项目-网络设备采购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投标文件有效期</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投标截止时间后</w:t>
            </w:r>
            <w:r>
              <w:rPr>
                <w:rFonts w:hint="eastAsia" w:ascii="微软雅黑" w:hAnsi="微软雅黑" w:eastAsia="微软雅黑"/>
                <w:snapToGrid w:val="0"/>
                <w:sz w:val="20"/>
                <w:szCs w:val="20"/>
                <w:u w:val="single"/>
              </w:rPr>
              <w:t>90</w:t>
            </w:r>
            <w:r>
              <w:rPr>
                <w:rFonts w:hint="eastAsia" w:ascii="微软雅黑" w:hAnsi="微软雅黑" w:eastAsia="微软雅黑"/>
                <w:snapToGrid w:val="0"/>
                <w:sz w:val="20"/>
                <w:szCs w:val="20"/>
              </w:rPr>
              <w:t>个日历天内有效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投标文件份数</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正本、副本及电子文本</w:t>
            </w:r>
            <w:r>
              <w:rPr>
                <w:rFonts w:hint="eastAsia" w:ascii="微软雅黑" w:hAnsi="微软雅黑" w:eastAsia="微软雅黑"/>
                <w:snapToGrid w:val="0"/>
                <w:sz w:val="20"/>
                <w:szCs w:val="20"/>
                <w:lang w:eastAsia="zh-CN"/>
              </w:rPr>
              <w:t>（一套）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答        疑</w:t>
            </w:r>
          </w:p>
        </w:tc>
        <w:tc>
          <w:tcPr>
            <w:tcW w:w="7539" w:type="dxa"/>
            <w:gridSpan w:val="3"/>
            <w:vAlign w:val="center"/>
          </w:tcPr>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投标单位提交质疑时间、地点：</w:t>
            </w:r>
            <w:r>
              <w:rPr>
                <w:rFonts w:hint="eastAsia" w:ascii="微软雅黑" w:hAnsi="微软雅黑" w:eastAsia="微软雅黑" w:cs="Times New Roman"/>
                <w:snapToGrid w:val="0"/>
                <w:sz w:val="20"/>
                <w:szCs w:val="20"/>
              </w:rPr>
              <w:t>202</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年</w:t>
            </w:r>
            <w:r>
              <w:rPr>
                <w:rFonts w:hint="eastAsia" w:ascii="微软雅黑" w:hAnsi="微软雅黑" w:eastAsia="微软雅黑" w:cs="Times New Roman"/>
                <w:snapToGrid w:val="0"/>
                <w:sz w:val="20"/>
                <w:szCs w:val="20"/>
                <w:lang w:val="en-US" w:eastAsia="zh-CN"/>
              </w:rPr>
              <w:t>12</w:t>
            </w:r>
            <w:r>
              <w:rPr>
                <w:rFonts w:hint="eastAsia" w:ascii="微软雅黑" w:hAnsi="微软雅黑" w:eastAsia="微软雅黑" w:cs="Times New Roman"/>
                <w:snapToGrid w:val="0"/>
                <w:sz w:val="20"/>
                <w:szCs w:val="20"/>
              </w:rPr>
              <w:t>月</w:t>
            </w:r>
            <w:r>
              <w:rPr>
                <w:rFonts w:hint="eastAsia" w:ascii="微软雅黑" w:hAnsi="微软雅黑" w:eastAsia="微软雅黑" w:cs="Times New Roman"/>
                <w:snapToGrid w:val="0"/>
                <w:sz w:val="20"/>
                <w:szCs w:val="20"/>
                <w:lang w:val="en-US" w:eastAsia="zh-CN"/>
              </w:rPr>
              <w:t>8</w:t>
            </w:r>
            <w:r>
              <w:rPr>
                <w:rFonts w:hint="eastAsia" w:ascii="微软雅黑" w:hAnsi="微软雅黑" w:eastAsia="微软雅黑" w:cs="Times New Roman"/>
                <w:snapToGrid w:val="0"/>
                <w:sz w:val="20"/>
                <w:szCs w:val="20"/>
              </w:rPr>
              <w:t>日上午12：00之前，廊坊银行股份有限公司</w:t>
            </w:r>
          </w:p>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招标单位发放答疑时间、地点：</w:t>
            </w:r>
            <w:r>
              <w:rPr>
                <w:rFonts w:hint="eastAsia" w:ascii="微软雅黑" w:hAnsi="微软雅黑" w:eastAsia="微软雅黑" w:cs="Times New Roman"/>
                <w:snapToGrid w:val="0"/>
                <w:sz w:val="20"/>
                <w:szCs w:val="20"/>
              </w:rPr>
              <w:t>202</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年</w:t>
            </w:r>
            <w:r>
              <w:rPr>
                <w:rFonts w:hint="eastAsia" w:ascii="微软雅黑" w:hAnsi="微软雅黑" w:eastAsia="微软雅黑" w:cs="Times New Roman"/>
                <w:snapToGrid w:val="0"/>
                <w:sz w:val="20"/>
                <w:szCs w:val="20"/>
                <w:lang w:val="en-US" w:eastAsia="zh-CN"/>
              </w:rPr>
              <w:t>12</w:t>
            </w:r>
            <w:r>
              <w:rPr>
                <w:rFonts w:hint="eastAsia" w:ascii="微软雅黑" w:hAnsi="微软雅黑" w:eastAsia="微软雅黑" w:cs="Times New Roman"/>
                <w:snapToGrid w:val="0"/>
                <w:sz w:val="20"/>
                <w:szCs w:val="20"/>
              </w:rPr>
              <w:t>月</w:t>
            </w:r>
            <w:r>
              <w:rPr>
                <w:rFonts w:hint="eastAsia" w:ascii="微软雅黑" w:hAnsi="微软雅黑" w:eastAsia="微软雅黑" w:cs="Times New Roman"/>
                <w:snapToGrid w:val="0"/>
                <w:sz w:val="20"/>
                <w:szCs w:val="20"/>
                <w:lang w:val="en-US" w:eastAsia="zh-CN"/>
              </w:rPr>
              <w:t>8</w:t>
            </w:r>
            <w:r>
              <w:rPr>
                <w:rFonts w:hint="eastAsia" w:ascii="微软雅黑" w:hAnsi="微软雅黑" w:eastAsia="微软雅黑" w:cs="Times New Roman"/>
                <w:snapToGrid w:val="0"/>
                <w:sz w:val="20"/>
                <w:szCs w:val="20"/>
              </w:rPr>
              <w:t>日上午1</w:t>
            </w:r>
            <w:r>
              <w:rPr>
                <w:rFonts w:hint="eastAsia" w:ascii="微软雅黑" w:hAnsi="微软雅黑" w:eastAsia="微软雅黑" w:cs="Times New Roman"/>
                <w:snapToGrid w:val="0"/>
                <w:sz w:val="20"/>
                <w:szCs w:val="20"/>
                <w:lang w:val="en-US" w:eastAsia="zh-CN"/>
              </w:rPr>
              <w:t>7</w:t>
            </w:r>
            <w:r>
              <w:rPr>
                <w:rFonts w:hint="eastAsia" w:ascii="微软雅黑" w:hAnsi="微软雅黑" w:eastAsia="微软雅黑" w:cs="Times New Roman"/>
                <w:snapToGrid w:val="0"/>
                <w:sz w:val="20"/>
                <w:szCs w:val="20"/>
              </w:rPr>
              <w:t>：00之前，廊坊银行股份有限公司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投标文件递交</w:t>
            </w:r>
          </w:p>
        </w:tc>
        <w:tc>
          <w:tcPr>
            <w:tcW w:w="7539" w:type="dxa"/>
            <w:gridSpan w:val="3"/>
            <w:vAlign w:val="center"/>
          </w:tcPr>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邮编:  065000</w:t>
            </w:r>
          </w:p>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电话:  0316-2631706</w:t>
            </w:r>
          </w:p>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联系人：</w:t>
            </w:r>
            <w:r>
              <w:rPr>
                <w:rFonts w:hint="eastAsia" w:ascii="微软雅黑" w:hAnsi="微软雅黑" w:eastAsia="微软雅黑" w:cs="Times New Roman"/>
                <w:snapToGrid w:val="0"/>
                <w:sz w:val="20"/>
                <w:szCs w:val="20"/>
                <w:lang w:val="en-US" w:eastAsia="zh-CN"/>
              </w:rPr>
              <w:t>韩佳旭</w:t>
            </w:r>
          </w:p>
          <w:p>
            <w:pPr>
              <w:pStyle w:val="15"/>
              <w:spacing w:line="440" w:lineRule="exact"/>
              <w:rPr>
                <w:rFonts w:ascii="微软雅黑" w:hAnsi="微软雅黑" w:eastAsia="微软雅黑"/>
                <w:snapToGrid w:val="0"/>
                <w:sz w:val="20"/>
              </w:rPr>
            </w:pPr>
            <w:r>
              <w:rPr>
                <w:rFonts w:hint="eastAsia" w:ascii="微软雅黑" w:hAnsi="微软雅黑" w:eastAsia="微软雅黑"/>
                <w:snapToGrid w:val="0"/>
                <w:sz w:val="20"/>
              </w:rPr>
              <w:t>投标文件递交地址：河北省廊坊市广阳区爱民东道83号新世界中心办公楼大厦C区17号楼</w:t>
            </w:r>
            <w:r>
              <w:rPr>
                <w:rFonts w:hint="eastAsia" w:ascii="微软雅黑" w:hAnsi="微软雅黑" w:eastAsia="微软雅黑"/>
                <w:snapToGrid w:val="0"/>
                <w:sz w:val="20"/>
                <w:lang w:val="en-US" w:eastAsia="zh-CN"/>
              </w:rPr>
              <w:t>9</w:t>
            </w:r>
            <w:r>
              <w:rPr>
                <w:rFonts w:hint="eastAsia" w:ascii="微软雅黑" w:hAnsi="微软雅黑" w:eastAsia="微软雅黑"/>
                <w:snapToGrid w:val="0"/>
                <w:sz w:val="20"/>
              </w:rPr>
              <w:t>层</w:t>
            </w:r>
            <w:r>
              <w:rPr>
                <w:rFonts w:hint="eastAsia" w:ascii="微软雅黑" w:hAnsi="微软雅黑" w:eastAsia="微软雅黑"/>
                <w:snapToGrid w:val="0"/>
                <w:sz w:val="20"/>
                <w:lang w:val="en-US" w:eastAsia="zh-CN"/>
              </w:rPr>
              <w:t>911会议室</w:t>
            </w:r>
            <w:r>
              <w:rPr>
                <w:rFonts w:hint="eastAsia" w:ascii="微软雅黑" w:hAnsi="微软雅黑" w:eastAsia="微软雅黑"/>
                <w:snapToGrid w:val="0"/>
                <w:sz w:val="20"/>
              </w:rPr>
              <w:t xml:space="preserve">，廊坊银行股份有限公司 </w:t>
            </w:r>
          </w:p>
          <w:p>
            <w:pPr>
              <w:pStyle w:val="15"/>
              <w:rPr>
                <w:rFonts w:ascii="微软雅黑" w:hAnsi="微软雅黑" w:eastAsia="微软雅黑"/>
                <w:snapToGrid w:val="0"/>
                <w:sz w:val="20"/>
              </w:rPr>
            </w:pPr>
            <w:r>
              <w:rPr>
                <w:rFonts w:hint="eastAsia" w:ascii="微软雅黑" w:hAnsi="微软雅黑" w:eastAsia="微软雅黑"/>
                <w:snapToGrid w:val="0"/>
                <w:sz w:val="20"/>
              </w:rPr>
              <w:t xml:space="preserve">投标文件递交截止时间： </w:t>
            </w:r>
            <w:r>
              <w:rPr>
                <w:rFonts w:hint="eastAsia" w:ascii="微软雅黑" w:hAnsi="微软雅黑" w:eastAsia="微软雅黑" w:cs="Times New Roman"/>
                <w:snapToGrid w:val="0"/>
                <w:sz w:val="20"/>
                <w:szCs w:val="20"/>
              </w:rPr>
              <w:t>202</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年</w:t>
            </w:r>
            <w:r>
              <w:rPr>
                <w:rFonts w:hint="eastAsia" w:ascii="微软雅黑" w:hAnsi="微软雅黑" w:eastAsia="微软雅黑" w:cs="Times New Roman"/>
                <w:snapToGrid w:val="0"/>
                <w:sz w:val="20"/>
                <w:szCs w:val="20"/>
                <w:lang w:val="en-US" w:eastAsia="zh-CN"/>
              </w:rPr>
              <w:t>12</w:t>
            </w:r>
            <w:r>
              <w:rPr>
                <w:rFonts w:hint="eastAsia" w:ascii="微软雅黑" w:hAnsi="微软雅黑" w:eastAsia="微软雅黑" w:cs="Times New Roman"/>
                <w:snapToGrid w:val="0"/>
                <w:sz w:val="20"/>
                <w:szCs w:val="20"/>
              </w:rPr>
              <w:t>月</w:t>
            </w:r>
            <w:r>
              <w:rPr>
                <w:rFonts w:hint="eastAsia" w:ascii="微软雅黑" w:hAnsi="微软雅黑" w:eastAsia="微软雅黑" w:cs="Times New Roman"/>
                <w:snapToGrid w:val="0"/>
                <w:sz w:val="20"/>
                <w:szCs w:val="20"/>
                <w:lang w:val="en-US" w:eastAsia="zh-CN"/>
              </w:rPr>
              <w:t>12</w:t>
            </w:r>
            <w:r>
              <w:rPr>
                <w:rFonts w:hint="eastAsia" w:ascii="微软雅黑" w:hAnsi="微软雅黑" w:eastAsia="微软雅黑" w:cs="Times New Roman"/>
                <w:snapToGrid w:val="0"/>
                <w:sz w:val="20"/>
                <w:szCs w:val="20"/>
              </w:rPr>
              <w:t>日1</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w:t>
            </w:r>
            <w:r>
              <w:rPr>
                <w:rFonts w:hint="eastAsia" w:ascii="微软雅黑" w:hAnsi="微软雅黑" w:eastAsia="微软雅黑" w:cs="Times New Roman"/>
                <w:snapToGrid w:val="0"/>
                <w:sz w:val="20"/>
                <w:szCs w:val="20"/>
                <w:lang w:val="en-US" w:eastAsia="zh-CN"/>
              </w:rPr>
              <w:t>55</w:t>
            </w:r>
            <w:r>
              <w:rPr>
                <w:rFonts w:hint="eastAsia" w:ascii="微软雅黑" w:hAnsi="微软雅黑" w:eastAsia="微软雅黑" w:cs="Times New Roman"/>
                <w:snapToGrid w:val="0"/>
                <w:sz w:val="20"/>
                <w:szCs w:val="20"/>
              </w:rPr>
              <w:t>时前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2208" w:type="dxa"/>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开        标</w:t>
            </w:r>
          </w:p>
        </w:tc>
        <w:tc>
          <w:tcPr>
            <w:tcW w:w="7539" w:type="dxa"/>
            <w:gridSpan w:val="3"/>
            <w:vAlign w:val="center"/>
          </w:tcPr>
          <w:p>
            <w:pPr>
              <w:pStyle w:val="15"/>
              <w:rPr>
                <w:rFonts w:hint="eastAsia" w:ascii="微软雅黑" w:hAnsi="微软雅黑" w:eastAsia="微软雅黑" w:cs="Times New Roman"/>
                <w:snapToGrid w:val="0"/>
                <w:sz w:val="20"/>
                <w:szCs w:val="20"/>
              </w:rPr>
            </w:pPr>
            <w:r>
              <w:rPr>
                <w:rFonts w:hint="eastAsia" w:ascii="微软雅黑" w:hAnsi="微软雅黑" w:eastAsia="微软雅黑"/>
                <w:snapToGrid w:val="0"/>
                <w:sz w:val="20"/>
              </w:rPr>
              <w:t>讲标时间</w:t>
            </w:r>
            <w:r>
              <w:rPr>
                <w:rFonts w:hint="eastAsia" w:ascii="微软雅黑" w:hAnsi="微软雅黑" w:eastAsia="微软雅黑"/>
                <w:snapToGrid w:val="0"/>
                <w:sz w:val="20"/>
                <w:lang w:eastAsia="zh-CN"/>
              </w:rPr>
              <w:t>：</w:t>
            </w:r>
            <w:r>
              <w:rPr>
                <w:rFonts w:hint="eastAsia" w:ascii="微软雅黑" w:hAnsi="微软雅黑" w:eastAsia="微软雅黑" w:cs="Times New Roman"/>
                <w:snapToGrid w:val="0"/>
                <w:sz w:val="20"/>
                <w:szCs w:val="20"/>
              </w:rPr>
              <w:t>202</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年</w:t>
            </w:r>
            <w:r>
              <w:rPr>
                <w:rFonts w:hint="eastAsia" w:ascii="微软雅黑" w:hAnsi="微软雅黑" w:eastAsia="微软雅黑" w:cs="Times New Roman"/>
                <w:snapToGrid w:val="0"/>
                <w:sz w:val="20"/>
                <w:szCs w:val="20"/>
                <w:lang w:val="en-US" w:eastAsia="zh-CN"/>
              </w:rPr>
              <w:t>12</w:t>
            </w:r>
            <w:r>
              <w:rPr>
                <w:rFonts w:hint="eastAsia" w:ascii="微软雅黑" w:hAnsi="微软雅黑" w:eastAsia="微软雅黑" w:cs="Times New Roman"/>
                <w:snapToGrid w:val="0"/>
                <w:sz w:val="20"/>
                <w:szCs w:val="20"/>
              </w:rPr>
              <w:t>月</w:t>
            </w:r>
            <w:r>
              <w:rPr>
                <w:rFonts w:hint="eastAsia" w:ascii="微软雅黑" w:hAnsi="微软雅黑" w:eastAsia="微软雅黑" w:cs="Times New Roman"/>
                <w:snapToGrid w:val="0"/>
                <w:sz w:val="20"/>
                <w:szCs w:val="20"/>
                <w:lang w:val="en-US" w:eastAsia="zh-CN"/>
              </w:rPr>
              <w:t>12</w:t>
            </w:r>
            <w:r>
              <w:rPr>
                <w:rFonts w:hint="eastAsia" w:ascii="微软雅黑" w:hAnsi="微软雅黑" w:eastAsia="微软雅黑" w:cs="Times New Roman"/>
                <w:snapToGrid w:val="0"/>
                <w:sz w:val="20"/>
                <w:szCs w:val="20"/>
              </w:rPr>
              <w:t>日14:</w:t>
            </w:r>
            <w:r>
              <w:rPr>
                <w:rFonts w:hint="eastAsia" w:ascii="微软雅黑" w:hAnsi="微软雅黑" w:eastAsia="微软雅黑" w:cs="Times New Roman"/>
                <w:snapToGrid w:val="0"/>
                <w:sz w:val="20"/>
                <w:szCs w:val="20"/>
                <w:lang w:val="en-US" w:eastAsia="zh-CN"/>
              </w:rPr>
              <w:t>0</w:t>
            </w:r>
            <w:r>
              <w:rPr>
                <w:rFonts w:hint="eastAsia" w:ascii="微软雅黑" w:hAnsi="微软雅黑" w:eastAsia="微软雅黑" w:cs="Times New Roman"/>
                <w:snapToGrid w:val="0"/>
                <w:sz w:val="20"/>
                <w:szCs w:val="20"/>
              </w:rPr>
              <w:t>0时</w:t>
            </w:r>
          </w:p>
          <w:p>
            <w:pPr>
              <w:pStyle w:val="15"/>
              <w:rPr>
                <w:rFonts w:ascii="微软雅黑" w:hAnsi="微软雅黑" w:eastAsia="微软雅黑"/>
                <w:snapToGrid w:val="0"/>
                <w:sz w:val="20"/>
              </w:rPr>
            </w:pPr>
            <w:r>
              <w:rPr>
                <w:rFonts w:hint="eastAsia" w:ascii="微软雅黑" w:hAnsi="微软雅黑" w:eastAsia="微软雅黑"/>
                <w:snapToGrid w:val="0"/>
                <w:sz w:val="20"/>
              </w:rPr>
              <w:t>依照回标顺序依次讲标。技术标通过内部评审，结合商务标评分，决定中标候选人。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trPr>
        <w:tc>
          <w:tcPr>
            <w:tcW w:w="2208" w:type="dxa"/>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评 标 办 法</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详见《投标须知》相关内容</w:t>
            </w:r>
          </w:p>
        </w:tc>
      </w:tr>
    </w:tbl>
    <w:p>
      <w:pPr>
        <w:widowControl/>
        <w:jc w:val="left"/>
        <w:rPr>
          <w:rFonts w:ascii="微软雅黑" w:hAnsi="微软雅黑" w:eastAsia="微软雅黑"/>
          <w:sz w:val="20"/>
          <w:szCs w:val="20"/>
        </w:rPr>
      </w:pPr>
    </w:p>
    <w:p>
      <w:pPr>
        <w:pStyle w:val="24"/>
        <w:rPr>
          <w:rFonts w:ascii="微软雅黑" w:hAnsi="微软雅黑" w:eastAsia="微软雅黑"/>
        </w:rPr>
      </w:pPr>
      <w:bookmarkStart w:id="5" w:name="_Toc3243"/>
      <w:r>
        <w:rPr>
          <w:rFonts w:hint="eastAsia" w:ascii="微软雅黑" w:hAnsi="微软雅黑" w:eastAsia="微软雅黑"/>
        </w:rPr>
        <w:t>二、简介</w:t>
      </w:r>
      <w:bookmarkEnd w:id="5"/>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1.招标人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1.1 廊坊银行股份有限公司（即招标人）对</w:t>
      </w:r>
      <w:r>
        <w:rPr>
          <w:rFonts w:hint="eastAsia" w:ascii="微软雅黑" w:hAnsi="微软雅黑" w:eastAsia="微软雅黑" w:cs="Times New Roman"/>
          <w:sz w:val="20"/>
          <w:szCs w:val="20"/>
          <w:lang w:eastAsia="zh-CN"/>
        </w:rPr>
        <w:t>供应链金融项目-网络设备采购</w:t>
      </w:r>
      <w:r>
        <w:rPr>
          <w:rFonts w:hint="eastAsia" w:ascii="微软雅黑" w:hAnsi="微软雅黑" w:eastAsia="微软雅黑"/>
          <w:sz w:val="20"/>
          <w:szCs w:val="20"/>
        </w:rPr>
        <w:t>进行招标。</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2.合格的投标人</w:t>
      </w:r>
    </w:p>
    <w:p>
      <w:pPr>
        <w:adjustRightInd w:val="0"/>
        <w:snapToGrid w:val="0"/>
        <w:spacing w:line="440" w:lineRule="exact"/>
        <w:ind w:left="400" w:hanging="400" w:hangingChars="200"/>
        <w:jc w:val="left"/>
        <w:rPr>
          <w:rFonts w:hint="eastAsia" w:ascii="微软雅黑" w:hAnsi="微软雅黑" w:eastAsia="微软雅黑"/>
          <w:sz w:val="20"/>
          <w:szCs w:val="20"/>
        </w:rPr>
      </w:pPr>
      <w:r>
        <w:rPr>
          <w:rFonts w:hint="eastAsia" w:ascii="微软雅黑" w:hAnsi="微软雅黑" w:eastAsia="微软雅黑"/>
          <w:sz w:val="20"/>
          <w:szCs w:val="20"/>
        </w:rPr>
        <w:t>2.1 行业内公认的、技术和市场占有率领先的、在中华人民共和国注册登记或是与中华人民共和国有正常贸易往来的国家或地区（下称“合格来源国”）具备独立法人资格的服务提供商。且注册年限在3年以上。</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2.2通过招标人组织的入围资格审查。</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2.3 能按照本招标文件要求提供相关的证明文件和手续。若招标过程中投标人资格条件与其提交相关证明时发生实质性改变或者投标人所提供的资格证明资料与事实不符的，招标人可以随时取消其投标或中标资格。</w:t>
      </w:r>
    </w:p>
    <w:p>
      <w:pPr>
        <w:adjustRightInd w:val="0"/>
        <w:snapToGrid w:val="0"/>
        <w:spacing w:line="440" w:lineRule="exact"/>
        <w:ind w:left="400" w:hanging="400" w:hangingChars="200"/>
        <w:jc w:val="left"/>
        <w:rPr>
          <w:rFonts w:ascii="微软雅黑" w:hAnsi="微软雅黑" w:eastAsia="微软雅黑"/>
          <w:sz w:val="20"/>
          <w:szCs w:val="20"/>
        </w:rPr>
      </w:pPr>
      <w:r>
        <w:rPr>
          <w:rFonts w:ascii="微软雅黑" w:hAnsi="微软雅黑" w:eastAsia="微软雅黑"/>
          <w:sz w:val="20"/>
          <w:szCs w:val="20"/>
        </w:rPr>
        <w:t>2.4注册资本金不少于：</w:t>
      </w:r>
      <w:r>
        <w:rPr>
          <w:rFonts w:hint="eastAsia" w:ascii="微软雅黑" w:hAnsi="微软雅黑" w:eastAsia="微软雅黑"/>
          <w:b/>
          <w:bCs/>
          <w:sz w:val="20"/>
          <w:szCs w:val="20"/>
          <w:lang w:val="en-US" w:eastAsia="zh-CN"/>
        </w:rPr>
        <w:t>5</w:t>
      </w:r>
      <w:r>
        <w:rPr>
          <w:rFonts w:hint="eastAsia" w:ascii="微软雅黑" w:hAnsi="微软雅黑" w:eastAsia="微软雅黑"/>
          <w:b/>
          <w:sz w:val="20"/>
          <w:szCs w:val="20"/>
        </w:rPr>
        <w:t>0</w:t>
      </w:r>
      <w:r>
        <w:rPr>
          <w:rFonts w:ascii="微软雅黑" w:hAnsi="微软雅黑" w:eastAsia="微软雅黑"/>
          <w:b/>
          <w:sz w:val="20"/>
          <w:szCs w:val="20"/>
        </w:rPr>
        <w:t>00万</w:t>
      </w:r>
      <w:r>
        <w:rPr>
          <w:rFonts w:hint="eastAsia" w:ascii="微软雅黑" w:hAnsi="微软雅黑" w:eastAsia="微软雅黑"/>
          <w:sz w:val="20"/>
          <w:szCs w:val="20"/>
        </w:rPr>
        <w:t>。具有良好的银行资信和商业信誉，没有处于被责令停业、财产被接管、冻结、破产状态。</w:t>
      </w:r>
    </w:p>
    <w:p>
      <w:pPr>
        <w:adjustRightInd w:val="0"/>
        <w:snapToGrid w:val="0"/>
        <w:spacing w:line="440" w:lineRule="exact"/>
        <w:ind w:left="400" w:hanging="400" w:hangingChars="200"/>
        <w:jc w:val="left"/>
        <w:rPr>
          <w:rFonts w:hint="eastAsia" w:ascii="微软雅黑" w:hAnsi="微软雅黑" w:eastAsia="微软雅黑"/>
          <w:sz w:val="20"/>
          <w:szCs w:val="20"/>
        </w:rPr>
      </w:pPr>
      <w:r>
        <w:rPr>
          <w:rFonts w:ascii="微软雅黑" w:hAnsi="微软雅黑" w:eastAsia="微软雅黑"/>
          <w:sz w:val="20"/>
          <w:szCs w:val="20"/>
        </w:rPr>
        <w:t xml:space="preserve">2.5 </w:t>
      </w:r>
      <w:r>
        <w:rPr>
          <w:rFonts w:hint="eastAsia" w:ascii="微软雅黑" w:hAnsi="微软雅黑" w:eastAsia="微软雅黑"/>
          <w:sz w:val="20"/>
          <w:szCs w:val="20"/>
        </w:rPr>
        <w:t>参加本次招标活动近三年内，在经营活动中没有重大违法违规记录。</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eastAsia" w:ascii="微软雅黑" w:hAnsi="微软雅黑" w:eastAsia="微软雅黑"/>
          <w:sz w:val="20"/>
          <w:szCs w:val="20"/>
          <w:lang w:val="en-US" w:eastAsia="zh-CN"/>
        </w:rPr>
        <w:t>2.6 其他：</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2.</w:t>
      </w:r>
      <w:r>
        <w:rPr>
          <w:rFonts w:hint="eastAsia" w:ascii="微软雅黑" w:hAnsi="微软雅黑" w:eastAsia="微软雅黑" w:cs="Times New Roman"/>
          <w:sz w:val="20"/>
          <w:szCs w:val="20"/>
          <w:lang w:val="en-US" w:eastAsia="zh-CN"/>
        </w:rPr>
        <w:t>6</w:t>
      </w:r>
      <w:r>
        <w:rPr>
          <w:rFonts w:hint="default" w:ascii="微软雅黑" w:hAnsi="微软雅黑" w:eastAsia="微软雅黑" w:cs="Times New Roman"/>
          <w:sz w:val="20"/>
          <w:szCs w:val="20"/>
        </w:rPr>
        <w:t>.1投标人单位主要人员不在失信名单中。</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2.</w:t>
      </w:r>
      <w:r>
        <w:rPr>
          <w:rFonts w:hint="eastAsia" w:ascii="微软雅黑" w:hAnsi="微软雅黑" w:eastAsia="微软雅黑" w:cs="Times New Roman"/>
          <w:sz w:val="20"/>
          <w:szCs w:val="20"/>
          <w:lang w:val="en-US" w:eastAsia="zh-CN"/>
        </w:rPr>
        <w:t>6</w:t>
      </w:r>
      <w:r>
        <w:rPr>
          <w:rFonts w:hint="default" w:ascii="微软雅黑" w:hAnsi="微软雅黑" w:eastAsia="微软雅黑" w:cs="Times New Roman"/>
          <w:sz w:val="20"/>
          <w:szCs w:val="20"/>
        </w:rPr>
        <w:t>.2投标人近三年银行业（国有大银行和股份制银行、同等规模以上城市商业银行案例）500万以上集成网络</w:t>
      </w:r>
      <w:r>
        <w:rPr>
          <w:rFonts w:hint="eastAsia" w:ascii="微软雅黑" w:hAnsi="微软雅黑" w:eastAsia="微软雅黑" w:cs="Times New Roman"/>
          <w:sz w:val="20"/>
          <w:szCs w:val="20"/>
          <w:lang w:eastAsia="zh-CN"/>
        </w:rPr>
        <w:t>、主机、存储</w:t>
      </w:r>
      <w:r>
        <w:rPr>
          <w:rFonts w:hint="default" w:ascii="微软雅黑" w:hAnsi="微软雅黑" w:eastAsia="微软雅黑" w:cs="Times New Roman"/>
          <w:sz w:val="20"/>
          <w:szCs w:val="20"/>
        </w:rPr>
        <w:t>案例不少于5个</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2.</w:t>
      </w:r>
      <w:r>
        <w:rPr>
          <w:rFonts w:hint="eastAsia" w:ascii="微软雅黑" w:hAnsi="微软雅黑" w:eastAsia="微软雅黑" w:cs="Times New Roman"/>
          <w:sz w:val="20"/>
          <w:szCs w:val="20"/>
          <w:lang w:val="en-US" w:eastAsia="zh-CN"/>
        </w:rPr>
        <w:t>6</w:t>
      </w:r>
      <w:r>
        <w:rPr>
          <w:rFonts w:hint="default" w:ascii="微软雅黑" w:hAnsi="微软雅黑" w:eastAsia="微软雅黑" w:cs="Times New Roman"/>
          <w:sz w:val="20"/>
          <w:szCs w:val="20"/>
        </w:rPr>
        <w:t>.3投标人需提供必要的资质证明文件，包括：</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（1）企业信用等级AAA</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w:t>
      </w:r>
      <w:r>
        <w:rPr>
          <w:rFonts w:hint="eastAsia" w:ascii="微软雅黑" w:hAnsi="微软雅黑" w:eastAsia="微软雅黑" w:cs="Times New Roman"/>
          <w:sz w:val="20"/>
          <w:szCs w:val="20"/>
          <w:lang w:val="en-US" w:eastAsia="zh-CN"/>
        </w:rPr>
        <w:t>2</w:t>
      </w:r>
      <w:r>
        <w:rPr>
          <w:rFonts w:hint="default" w:ascii="微软雅黑" w:hAnsi="微软雅黑" w:eastAsia="微软雅黑" w:cs="Times New Roman"/>
          <w:sz w:val="20"/>
          <w:szCs w:val="20"/>
        </w:rPr>
        <w:t>）ISO9001质量管理体系证书</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w:t>
      </w:r>
      <w:r>
        <w:rPr>
          <w:rFonts w:hint="eastAsia" w:ascii="微软雅黑" w:hAnsi="微软雅黑" w:eastAsia="微软雅黑" w:cs="Times New Roman"/>
          <w:sz w:val="20"/>
          <w:szCs w:val="20"/>
          <w:lang w:val="en-US" w:eastAsia="zh-CN"/>
        </w:rPr>
        <w:t>3</w:t>
      </w:r>
      <w:r>
        <w:rPr>
          <w:rFonts w:hint="default" w:ascii="微软雅黑" w:hAnsi="微软雅黑" w:eastAsia="微软雅黑" w:cs="Times New Roman"/>
          <w:sz w:val="20"/>
          <w:szCs w:val="20"/>
        </w:rPr>
        <w:t>）ISO20000管理体系认证证书</w:t>
      </w:r>
    </w:p>
    <w:p>
      <w:pPr>
        <w:adjustRightInd w:val="0"/>
        <w:snapToGrid w:val="0"/>
        <w:spacing w:line="440" w:lineRule="exact"/>
        <w:ind w:left="400" w:hanging="400" w:hangingChars="200"/>
        <w:jc w:val="left"/>
        <w:rPr>
          <w:rFonts w:hint="eastAsia" w:ascii="微软雅黑" w:hAnsi="微软雅黑" w:eastAsia="微软雅黑" w:cs="Times New Roman"/>
          <w:sz w:val="20"/>
          <w:szCs w:val="20"/>
          <w:lang w:val="en-US" w:eastAsia="zh-CN"/>
        </w:rPr>
      </w:pPr>
      <w:r>
        <w:rPr>
          <w:rFonts w:hint="default" w:ascii="微软雅黑" w:hAnsi="微软雅黑" w:eastAsia="微软雅黑" w:cs="Times New Roman"/>
          <w:sz w:val="20"/>
          <w:szCs w:val="20"/>
        </w:rPr>
        <w:t>（</w:t>
      </w:r>
      <w:r>
        <w:rPr>
          <w:rFonts w:hint="eastAsia" w:ascii="微软雅黑" w:hAnsi="微软雅黑" w:eastAsia="微软雅黑" w:cs="Times New Roman"/>
          <w:sz w:val="20"/>
          <w:szCs w:val="20"/>
          <w:lang w:val="en-US" w:eastAsia="zh-CN"/>
        </w:rPr>
        <w:t>4</w:t>
      </w:r>
      <w:r>
        <w:rPr>
          <w:rFonts w:hint="default" w:ascii="微软雅黑" w:hAnsi="微软雅黑" w:eastAsia="微软雅黑" w:cs="Times New Roman"/>
          <w:sz w:val="20"/>
          <w:szCs w:val="20"/>
        </w:rPr>
        <w:t>）</w:t>
      </w:r>
      <w:r>
        <w:rPr>
          <w:rFonts w:hint="eastAsia" w:ascii="微软雅黑" w:hAnsi="微软雅黑" w:eastAsia="微软雅黑" w:cs="Times New Roman"/>
          <w:sz w:val="20"/>
          <w:szCs w:val="20"/>
          <w:lang w:val="en-US" w:eastAsia="zh-CN"/>
        </w:rPr>
        <w:t>厂商出具的项目授权书及售后服务承诺函</w:t>
      </w:r>
    </w:p>
    <w:p>
      <w:pPr>
        <w:adjustRightInd w:val="0"/>
        <w:snapToGrid w:val="0"/>
        <w:spacing w:line="440" w:lineRule="exact"/>
        <w:ind w:left="400" w:hanging="400" w:hangingChars="200"/>
        <w:jc w:val="left"/>
        <w:rPr>
          <w:rFonts w:hint="eastAsia" w:ascii="微软雅黑" w:hAnsi="微软雅黑" w:eastAsia="微软雅黑"/>
          <w:sz w:val="20"/>
          <w:szCs w:val="20"/>
          <w:lang w:val="en-US" w:eastAsia="zh-CN"/>
        </w:rPr>
      </w:pPr>
      <w:r>
        <w:rPr>
          <w:rFonts w:hint="eastAsia" w:ascii="微软雅黑" w:hAnsi="微软雅黑" w:eastAsia="微软雅黑" w:cs="Times New Roman"/>
          <w:sz w:val="20"/>
          <w:szCs w:val="20"/>
          <w:lang w:val="en-US" w:eastAsia="zh-CN"/>
        </w:rPr>
        <w:t>（5）公司总部在北京、天津，或北京、天津有分部/办事处</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3.合格的设备和服务</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3.1投标人提供的服务符合招标文件及相关合同的技术标准等要求。投标人必须提供有效的质量证明资料和技术资料等质量文件。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3.2 严格执行国家现行有效的质量标准制造和提供合格产品。</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4.投标费用</w:t>
      </w:r>
    </w:p>
    <w:p>
      <w:pPr>
        <w:adjustRightInd w:val="0"/>
        <w:snapToGrid w:val="0"/>
        <w:spacing w:line="440" w:lineRule="exact"/>
        <w:ind w:left="420" w:leftChars="200"/>
        <w:jc w:val="left"/>
        <w:rPr>
          <w:rFonts w:ascii="微软雅黑" w:hAnsi="微软雅黑" w:eastAsia="微软雅黑"/>
          <w:sz w:val="20"/>
          <w:szCs w:val="20"/>
        </w:rPr>
      </w:pPr>
      <w:r>
        <w:rPr>
          <w:rFonts w:hint="eastAsia" w:ascii="微软雅黑" w:hAnsi="微软雅黑" w:eastAsia="微软雅黑"/>
          <w:sz w:val="20"/>
          <w:szCs w:val="20"/>
        </w:rPr>
        <w:t>投标人须承担其参与本次投标所涉及的一切费用。不管投标结果如何，招标人对上述费用不负任何责任。</w:t>
      </w:r>
    </w:p>
    <w:p>
      <w:pPr>
        <w:pStyle w:val="24"/>
        <w:rPr>
          <w:rFonts w:ascii="微软雅黑" w:hAnsi="微软雅黑" w:eastAsia="微软雅黑"/>
          <w:highlight w:val="yellow"/>
        </w:rPr>
        <w:sectPr>
          <w:footerReference r:id="rId6" w:type="default"/>
          <w:pgSz w:w="11909" w:h="16834"/>
          <w:pgMar w:top="1440" w:right="1134" w:bottom="1440" w:left="1134" w:header="0" w:footer="907" w:gutter="0"/>
          <w:pgNumType w:fmt="decimalFullWidth"/>
          <w:cols w:space="720" w:num="1"/>
          <w:docGrid w:linePitch="286" w:charSpace="0"/>
        </w:sectPr>
      </w:pPr>
    </w:p>
    <w:p>
      <w:pPr>
        <w:pStyle w:val="24"/>
        <w:rPr>
          <w:rFonts w:ascii="微软雅黑" w:hAnsi="微软雅黑" w:eastAsia="微软雅黑"/>
        </w:rPr>
      </w:pPr>
      <w:bookmarkStart w:id="6" w:name="_Toc21466"/>
      <w:r>
        <w:rPr>
          <w:rFonts w:hint="eastAsia" w:ascii="微软雅黑" w:hAnsi="微软雅黑" w:eastAsia="微软雅黑"/>
        </w:rPr>
        <w:t>三、招标文件的组成</w:t>
      </w:r>
      <w:bookmarkEnd w:id="6"/>
    </w:p>
    <w:p>
      <w:pPr>
        <w:widowControl/>
        <w:adjustRightInd w:val="0"/>
        <w:snapToGrid w:val="0"/>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5.招标文件组成</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5.1招标文件包括下列文件及所有按本投标须知第6条和第7条发出的任何答疑文件和补充修改文件：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 xml:space="preserve">        第一部分：</w:t>
      </w:r>
      <w:r>
        <w:rPr>
          <w:rFonts w:hint="eastAsia" w:ascii="微软雅黑" w:hAnsi="微软雅黑" w:eastAsia="微软雅黑"/>
          <w:sz w:val="20"/>
          <w:szCs w:val="20"/>
        </w:rPr>
        <w:tab/>
      </w:r>
      <w:r>
        <w:rPr>
          <w:rFonts w:hint="eastAsia" w:ascii="微软雅黑" w:hAnsi="微软雅黑" w:eastAsia="微软雅黑"/>
          <w:sz w:val="20"/>
          <w:szCs w:val="20"/>
        </w:rPr>
        <w:t>招标邀请</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第二部分：</w:t>
      </w:r>
      <w:r>
        <w:rPr>
          <w:rFonts w:hint="eastAsia" w:ascii="微软雅黑" w:hAnsi="微软雅黑" w:eastAsia="微软雅黑"/>
          <w:sz w:val="20"/>
          <w:szCs w:val="20"/>
        </w:rPr>
        <w:tab/>
      </w:r>
      <w:r>
        <w:rPr>
          <w:rFonts w:hint="eastAsia" w:ascii="微软雅黑" w:hAnsi="微软雅黑" w:eastAsia="微软雅黑"/>
          <w:sz w:val="20"/>
          <w:szCs w:val="20"/>
        </w:rPr>
        <w:t>投标须知</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第三部分：</w:t>
      </w:r>
      <w:r>
        <w:rPr>
          <w:rFonts w:hint="eastAsia" w:ascii="微软雅黑" w:hAnsi="微软雅黑" w:eastAsia="微软雅黑"/>
          <w:sz w:val="20"/>
          <w:szCs w:val="20"/>
        </w:rPr>
        <w:tab/>
      </w:r>
      <w:r>
        <w:rPr>
          <w:rFonts w:hint="eastAsia" w:ascii="微软雅黑" w:hAnsi="微软雅黑" w:eastAsia="微软雅黑"/>
          <w:sz w:val="20"/>
          <w:szCs w:val="20"/>
        </w:rPr>
        <w:t>技术要求</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第四部分：</w:t>
      </w:r>
      <w:r>
        <w:rPr>
          <w:rFonts w:hint="eastAsia" w:ascii="微软雅黑" w:hAnsi="微软雅黑" w:eastAsia="微软雅黑"/>
          <w:sz w:val="20"/>
          <w:szCs w:val="20"/>
        </w:rPr>
        <w:tab/>
      </w:r>
      <w:r>
        <w:rPr>
          <w:rFonts w:hint="eastAsia" w:ascii="微软雅黑" w:hAnsi="微软雅黑" w:eastAsia="微软雅黑"/>
          <w:sz w:val="20"/>
          <w:szCs w:val="20"/>
        </w:rPr>
        <w:t>投标文件格式文本</w:t>
      </w:r>
      <w:r>
        <w:rPr>
          <w:rFonts w:hint="eastAsia" w:ascii="微软雅黑" w:hAnsi="微软雅黑" w:eastAsia="微软雅黑"/>
          <w:sz w:val="20"/>
          <w:szCs w:val="20"/>
        </w:rPr>
        <w:tab/>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5.2投标人应认真审阅招标文件中的各个组成部分，充分了解本招标文件中的各项规定和投标人一旦中标后须承担的合同责任和义务；如果投标人的投标文件不符合招标文件的要求或提交的标书不能实质性响应招标文件，该投标文件将被拒绝，责任由投标人自行承担。</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5.3 凡获得招标文件者，无论投标人中标与否，均应对招标文件保密和保护招标人的知识产权，并应承担因其泄密等而引起的一切损失和责任。</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6.招标文件的修改</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6.1 招标人在《前附表》规定的投标截止时间的48小时之前，有权对招标文件进行修改。这种修改可能是招标人主动发起的，也可能是为了解答投标人要求澄清的问题而发起的。招标人对招标文件的修改，将以“招标文件的补充文件”的形式向投标人发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6.2 招标文件的补充文件应是招标文件的一部分，将以书面的方式发给所有获得招标文件的投标人，并对他们起约束作用。投标人收到招标文件的任何补充文件后，应立即告知招标人并同时以书面的方式通知招标人，确认已经收到招标文件的补充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6.3 如果招标人认为有必要对招标文件进行修改，或为满足国家法律、法规的规定时可以通知投标人延长本招标文件《前附表》中规定的投标截止时间。这种通知应当以书面的方式发给所有获得招标文件的投标人。投标人收到修改通知后，应当立即告知招标人，同时以书面形式通知招标人确认已经收到该修改通知。投标人未予确认的，不影响修改文件的效力及执行，且招标人有权取消该投标人的投标或中标资格。</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6.4 当招标文件的内容与修改书内容相互矛盾时，以发出时间较晚的修改书为准。</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6.5 如招标人在评标过程中未修改招标文件的技术要求，则投标人的初始报价，将作为定标的依据。各投标人应自行审慎确定报价。</w:t>
      </w:r>
    </w:p>
    <w:p>
      <w:pPr>
        <w:widowControl/>
        <w:spacing w:line="440" w:lineRule="exact"/>
        <w:ind w:left="600" w:hanging="600"/>
        <w:jc w:val="left"/>
        <w:rPr>
          <w:rFonts w:ascii="微软雅黑" w:hAnsi="微软雅黑" w:eastAsia="微软雅黑"/>
          <w:b/>
          <w:sz w:val="20"/>
          <w:szCs w:val="20"/>
        </w:rPr>
      </w:pPr>
      <w:r>
        <w:rPr>
          <w:rFonts w:hint="eastAsia" w:ascii="微软雅黑" w:hAnsi="微软雅黑" w:eastAsia="微软雅黑"/>
          <w:b/>
          <w:sz w:val="20"/>
          <w:szCs w:val="20"/>
        </w:rPr>
        <w:t>7.招标文件澄清</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7.1 投标人在获得招标文件后，如果有问题需要招标人解释和答疑，应当在《前附表》规定的日期前，以法人或其授权代表签字的书面方式向招标人提出质疑，同时以Word电子文档方式提出；可以按下述地址邮寄、E-mail或传真提供：</w:t>
      </w:r>
    </w:p>
    <w:p>
      <w:pPr>
        <w:widowControl/>
        <w:spacing w:line="440" w:lineRule="exact"/>
        <w:ind w:firstLine="800" w:firstLineChars="400"/>
        <w:jc w:val="left"/>
        <w:rPr>
          <w:rFonts w:ascii="微软雅黑" w:hAnsi="微软雅黑" w:eastAsia="微软雅黑"/>
          <w:snapToGrid w:val="0"/>
          <w:sz w:val="20"/>
          <w:szCs w:val="20"/>
        </w:rPr>
      </w:pPr>
      <w:r>
        <w:rPr>
          <w:rFonts w:hint="eastAsia" w:ascii="微软雅黑" w:hAnsi="微软雅黑" w:eastAsia="微软雅黑"/>
          <w:snapToGrid w:val="0"/>
          <w:sz w:val="20"/>
          <w:szCs w:val="20"/>
        </w:rPr>
        <w:t>河北省廊坊市广阳区爱民东道83号新世界中心办公楼大厦C区17号楼5-14层、22层廊坊银行股份有限公司财务管理部集采</w:t>
      </w:r>
      <w:r>
        <w:rPr>
          <w:rFonts w:ascii="微软雅黑" w:hAnsi="微软雅黑" w:eastAsia="微软雅黑"/>
          <w:snapToGrid w:val="0"/>
          <w:sz w:val="20"/>
          <w:szCs w:val="20"/>
        </w:rPr>
        <w:t>中心</w:t>
      </w:r>
    </w:p>
    <w:p>
      <w:pPr>
        <w:widowControl/>
        <w:spacing w:line="440" w:lineRule="exact"/>
        <w:ind w:firstLine="800" w:firstLineChars="400"/>
        <w:jc w:val="left"/>
        <w:rPr>
          <w:rFonts w:ascii="微软雅黑" w:hAnsi="微软雅黑" w:eastAsia="微软雅黑"/>
          <w:sz w:val="20"/>
          <w:szCs w:val="20"/>
        </w:rPr>
      </w:pPr>
      <w:r>
        <w:rPr>
          <w:rFonts w:hint="eastAsia" w:ascii="微软雅黑" w:hAnsi="微软雅黑" w:eastAsia="微软雅黑"/>
          <w:sz w:val="20"/>
          <w:szCs w:val="20"/>
        </w:rPr>
        <w:t>邮编:   065000</w:t>
      </w:r>
    </w:p>
    <w:p>
      <w:pPr>
        <w:widowControl/>
        <w:spacing w:line="440" w:lineRule="exact"/>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电话:  0316-2631706</w:t>
      </w:r>
    </w:p>
    <w:p>
      <w:pPr>
        <w:widowControl/>
        <w:spacing w:line="440" w:lineRule="exact"/>
        <w:jc w:val="left"/>
        <w:rPr>
          <w:rFonts w:ascii="微软雅黑" w:hAnsi="微软雅黑" w:eastAsia="微软雅黑"/>
          <w:sz w:val="20"/>
          <w:szCs w:val="20"/>
        </w:rPr>
      </w:pPr>
      <w:r>
        <w:rPr>
          <w:rFonts w:hint="eastAsia" w:ascii="微软雅黑" w:hAnsi="微软雅黑" w:eastAsia="微软雅黑"/>
          <w:sz w:val="20"/>
          <w:szCs w:val="20"/>
        </w:rPr>
        <w:t xml:space="preserve">        E-mail：</w:t>
      </w:r>
      <w:r>
        <w:rPr>
          <w:rFonts w:hint="eastAsia" w:ascii="微软雅黑" w:hAnsi="微软雅黑" w:eastAsia="微软雅黑" w:cs="Times New Roman"/>
          <w:sz w:val="20"/>
          <w:szCs w:val="20"/>
          <w:lang w:val="en-US" w:eastAsia="zh-CN"/>
        </w:rPr>
        <w:t>hanjiaxu@lccb.com.cn</w:t>
      </w:r>
    </w:p>
    <w:p>
      <w:pPr>
        <w:widowControl/>
        <w:spacing w:line="440" w:lineRule="exact"/>
        <w:jc w:val="left"/>
        <w:rPr>
          <w:rFonts w:ascii="微软雅黑" w:hAnsi="微软雅黑" w:eastAsia="微软雅黑"/>
          <w:sz w:val="20"/>
          <w:szCs w:val="20"/>
        </w:rPr>
      </w:pPr>
      <w:r>
        <w:rPr>
          <w:rFonts w:hint="eastAsia" w:ascii="微软雅黑" w:hAnsi="微软雅黑" w:eastAsia="微软雅黑"/>
          <w:sz w:val="20"/>
          <w:szCs w:val="20"/>
        </w:rPr>
        <w:t xml:space="preserve">        联系人：</w:t>
      </w:r>
      <w:r>
        <w:rPr>
          <w:rFonts w:hint="eastAsia" w:ascii="微软雅黑" w:hAnsi="微软雅黑" w:eastAsia="微软雅黑"/>
          <w:sz w:val="20"/>
          <w:szCs w:val="20"/>
          <w:lang w:val="en-US" w:eastAsia="zh-CN"/>
        </w:rPr>
        <w:t>韩佳旭</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7.2 招标人将对答疑截止日期前收到的需对招标文件澄清和了解的要求，给予</w:t>
      </w:r>
      <w:r>
        <w:rPr>
          <w:rFonts w:ascii="微软雅黑" w:hAnsi="微软雅黑" w:eastAsia="微软雅黑"/>
          <w:sz w:val="20"/>
          <w:szCs w:val="20"/>
        </w:rPr>
        <w:t>E-mail</w:t>
      </w:r>
      <w:r>
        <w:rPr>
          <w:rFonts w:hint="eastAsia" w:ascii="微软雅黑" w:hAnsi="微软雅黑" w:eastAsia="微软雅黑"/>
          <w:sz w:val="20"/>
          <w:szCs w:val="20"/>
        </w:rPr>
        <w:t>、传真形式答复（包括对询问的解释，但不说明询问的来源）所有获得招标文件的投标人。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7.3 招标答疑文件或补充招标文件将成为招标文件的组成部分，与招标文件具有同等效力；本招标文件（含补充招标文件、答疑文件）是签订合作协议的主要依据，合作协议中涉及本招标文件的条款应当与本招标文件（含补充招标文件、答疑文件）相一致；投标人对招标文件自行做出的理解、解释、推论和应用，招标人概不负责。由于对招标文件的任何误解所造成的后果，均由投标人自负。</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8.投标语言及计量单位</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8.1  投标文件、投标人和招标人就投标交换的文件和来往信件，应以中文（简体）形式书写。</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8.2  招标文件的技术规格中另有规定外，计量单位应使用中华人民共和国（为本次招标目的，不含港澳台地区）法定计量单位。</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8.3  投标报价以人民币为货币单位。</w:t>
      </w:r>
    </w:p>
    <w:p>
      <w:pPr>
        <w:adjustRightInd w:val="0"/>
        <w:snapToGrid w:val="0"/>
        <w:spacing w:line="440" w:lineRule="exact"/>
        <w:ind w:left="400" w:hanging="400" w:hangingChars="200"/>
        <w:jc w:val="left"/>
        <w:rPr>
          <w:rFonts w:ascii="微软雅黑" w:hAnsi="微软雅黑" w:eastAsia="微软雅黑"/>
          <w:sz w:val="20"/>
          <w:szCs w:val="20"/>
        </w:rPr>
      </w:pPr>
    </w:p>
    <w:p>
      <w:pPr>
        <w:pStyle w:val="24"/>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4"/>
        <w:rPr>
          <w:rFonts w:ascii="微软雅黑" w:hAnsi="微软雅黑" w:eastAsia="微软雅黑"/>
        </w:rPr>
      </w:pPr>
      <w:bookmarkStart w:id="7" w:name="_Toc7590"/>
      <w:r>
        <w:rPr>
          <w:rFonts w:hint="eastAsia" w:ascii="微软雅黑" w:hAnsi="微软雅黑" w:eastAsia="微软雅黑"/>
        </w:rPr>
        <w:t>四、投标文件的组成</w:t>
      </w:r>
      <w:bookmarkEnd w:id="7"/>
    </w:p>
    <w:p>
      <w:pPr>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9.投标文件的构成文件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9.1 投标文件应包括下列内容：商务标、技术标。投标文件的组成应包括（但不限于）下列主要内容：</w:t>
      </w:r>
    </w:p>
    <w:p>
      <w:pPr>
        <w:pStyle w:val="38"/>
        <w:numPr>
          <w:ilvl w:val="3"/>
          <w:numId w:val="3"/>
        </w:numPr>
        <w:snapToGrid w:val="0"/>
        <w:spacing w:line="440" w:lineRule="exact"/>
        <w:ind w:left="426" w:hanging="426" w:firstLineChars="0"/>
        <w:jc w:val="left"/>
        <w:rPr>
          <w:rFonts w:ascii="微软雅黑" w:hAnsi="微软雅黑" w:eastAsia="微软雅黑"/>
          <w:sz w:val="20"/>
          <w:szCs w:val="20"/>
        </w:rPr>
      </w:pPr>
      <w:r>
        <w:rPr>
          <w:rFonts w:hint="eastAsia" w:ascii="微软雅黑" w:hAnsi="微软雅黑" w:eastAsia="微软雅黑"/>
          <w:sz w:val="20"/>
          <w:szCs w:val="20"/>
        </w:rPr>
        <w:t xml:space="preserve">商务标 </w:t>
      </w:r>
    </w:p>
    <w:p>
      <w:pPr>
        <w:numPr>
          <w:ilvl w:val="0"/>
          <w:numId w:val="4"/>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法定代表人资格证明书（附身份证复印件）；</w:t>
      </w:r>
    </w:p>
    <w:p>
      <w:pPr>
        <w:numPr>
          <w:ilvl w:val="0"/>
          <w:numId w:val="4"/>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法定代表人授权委托书（附身份证复印件）；</w:t>
      </w:r>
    </w:p>
    <w:p>
      <w:pPr>
        <w:numPr>
          <w:ilvl w:val="0"/>
          <w:numId w:val="4"/>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投标书；</w:t>
      </w:r>
    </w:p>
    <w:p>
      <w:pPr>
        <w:numPr>
          <w:ilvl w:val="0"/>
          <w:numId w:val="4"/>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投标报价汇总；</w:t>
      </w:r>
    </w:p>
    <w:p>
      <w:pPr>
        <w:numPr>
          <w:ilvl w:val="0"/>
          <w:numId w:val="4"/>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商务偏离表；</w:t>
      </w:r>
    </w:p>
    <w:p>
      <w:pPr>
        <w:numPr>
          <w:ilvl w:val="0"/>
          <w:numId w:val="4"/>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投标人最近3年的财务报告和最新的资产负债表。</w:t>
      </w:r>
    </w:p>
    <w:p>
      <w:pPr>
        <w:numPr>
          <w:ilvl w:val="0"/>
          <w:numId w:val="3"/>
        </w:numPr>
        <w:spacing w:line="440" w:lineRule="exact"/>
        <w:jc w:val="lef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技术标（详见后附表格格式）</w:t>
      </w:r>
    </w:p>
    <w:p>
      <w:pPr>
        <w:numPr>
          <w:ilvl w:val="0"/>
          <w:numId w:val="3"/>
        </w:numPr>
        <w:snapToGrid w:val="0"/>
        <w:spacing w:line="440" w:lineRule="exact"/>
        <w:jc w:val="lef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包含商务及技术投标文件所有内容的电子文档，并为可编辑格式。</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9.2 投标人提交的投标文件必须使用本招标文件提供的投标文件表式，表式可以按同样格式进行扩展。</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9.3 根据本招标文件规定须提交的、投标人认为有必要补充的、投标人为增加其投标的竞争性而提交的其它资料。投标人提交的投标文件必须使用本招标文件第四部分投标书规定的格式进行填写。对未按要求填写的投标文件，招标人有权按无效标书处理。</w:t>
      </w:r>
    </w:p>
    <w:p>
      <w:pPr>
        <w:widowControl/>
        <w:spacing w:line="440" w:lineRule="exact"/>
        <w:jc w:val="left"/>
        <w:rPr>
          <w:rFonts w:ascii="微软雅黑" w:hAnsi="微软雅黑" w:eastAsia="微软雅黑"/>
          <w:b/>
          <w:sz w:val="20"/>
          <w:szCs w:val="20"/>
        </w:rPr>
      </w:pPr>
      <w:bookmarkStart w:id="8" w:name="_Toc116803296"/>
      <w:r>
        <w:rPr>
          <w:rFonts w:hint="eastAsia" w:ascii="微软雅黑" w:hAnsi="微软雅黑" w:eastAsia="微软雅黑"/>
          <w:b/>
          <w:sz w:val="20"/>
          <w:szCs w:val="20"/>
        </w:rPr>
        <w:t>10.质量要求</w:t>
      </w:r>
      <w:bookmarkEnd w:id="8"/>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10.1严格执行国家现行有效的质量标准及行业标准，并严格按招标人需求提供服务，且保证所提供服务不侵犯他人权益。否则，因此所造成的损失和责任由投标人全部负责。</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10.2必须提供有效的质量证明资料和技术资料等质量文件。</w:t>
      </w:r>
    </w:p>
    <w:p>
      <w:pPr>
        <w:widowControl/>
        <w:spacing w:line="440" w:lineRule="exact"/>
        <w:jc w:val="left"/>
        <w:rPr>
          <w:rFonts w:ascii="微软雅黑" w:hAnsi="微软雅黑" w:eastAsia="微软雅黑"/>
          <w:b/>
          <w:sz w:val="20"/>
          <w:szCs w:val="20"/>
        </w:rPr>
      </w:pPr>
      <w:bookmarkStart w:id="9" w:name="_Toc116803297"/>
      <w:r>
        <w:rPr>
          <w:rFonts w:hint="eastAsia" w:ascii="微软雅黑" w:hAnsi="微软雅黑" w:eastAsia="微软雅黑"/>
          <w:b/>
          <w:sz w:val="20"/>
          <w:szCs w:val="20"/>
        </w:rPr>
        <w:t>11.服务承诺要求</w:t>
      </w:r>
      <w:bookmarkEnd w:id="9"/>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11.1中标后立即与招标人有关部门办理业务手续，签订合作协议。</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11.2保证在招标人要求的期限内完成合同内容，不得延误。</w:t>
      </w:r>
    </w:p>
    <w:p>
      <w:pPr>
        <w:widowControl/>
        <w:spacing w:line="440" w:lineRule="exact"/>
        <w:jc w:val="left"/>
        <w:rPr>
          <w:rFonts w:ascii="微软雅黑" w:hAnsi="微软雅黑" w:eastAsia="微软雅黑"/>
          <w:b/>
          <w:sz w:val="20"/>
          <w:szCs w:val="20"/>
        </w:rPr>
      </w:pPr>
      <w:bookmarkStart w:id="10" w:name="_Toc116803298"/>
      <w:r>
        <w:rPr>
          <w:rFonts w:hint="eastAsia" w:ascii="微软雅黑" w:hAnsi="微软雅黑" w:eastAsia="微软雅黑"/>
          <w:b/>
          <w:sz w:val="20"/>
          <w:szCs w:val="20"/>
        </w:rPr>
        <w:t>12.报价形式</w:t>
      </w:r>
      <w:bookmarkEnd w:id="10"/>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12.1投标人应根据项目中所涉及到的服务费用、硬件费用及相关软件费用进行报价，报价构成为一次性采购费用加上周期性服务费用。</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12.2本标书报价采用人民币计算。</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13.投标有效期</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13.1投标有效期为自投标截止时间后的90个日历天（如签订合作协议，则投标价格在协议期内一直保持有效）。</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13.2在投标有效期内，招标人可以要求投标人同意延长有效期，这些要求及答复以书面形式(或传真、E-mail)体现。投标人可以拒绝延长，但其投标失效。同意延长投标有效期的投标人既不能要求也不允许修改其投标文件。</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14.投标文件的形式和签署</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14.1投标人应按本招标文件的规定准备</w:t>
      </w:r>
      <w:r>
        <w:rPr>
          <w:rFonts w:hint="eastAsia" w:ascii="微软雅黑" w:hAnsi="微软雅黑" w:eastAsia="微软雅黑"/>
          <w:b/>
          <w:sz w:val="20"/>
          <w:szCs w:val="20"/>
        </w:rPr>
        <w:t>投标文件正本和副本</w:t>
      </w:r>
      <w:r>
        <w:rPr>
          <w:rFonts w:hint="eastAsia" w:ascii="微软雅黑" w:hAnsi="微软雅黑" w:eastAsia="微软雅黑"/>
          <w:sz w:val="20"/>
          <w:szCs w:val="20"/>
        </w:rPr>
        <w:t>，并明确标明“正本”和“副本”。正本和副本如有不一致之处，以正本为准。同时投标人需提供</w:t>
      </w:r>
      <w:r>
        <w:rPr>
          <w:rFonts w:hint="eastAsia" w:ascii="微软雅黑" w:hAnsi="微软雅黑" w:eastAsia="微软雅黑"/>
          <w:b/>
          <w:sz w:val="20"/>
          <w:szCs w:val="20"/>
        </w:rPr>
        <w:t>电子版投标文件一份</w:t>
      </w:r>
      <w:r>
        <w:rPr>
          <w:rFonts w:hint="eastAsia" w:ascii="微软雅黑" w:hAnsi="微软雅黑" w:eastAsia="微软雅黑"/>
          <w:sz w:val="20"/>
          <w:szCs w:val="20"/>
        </w:rPr>
        <w:t>（含技术标投标文件、商务标投标报价表文件等），技术标投标文件（可编辑</w:t>
      </w:r>
      <w:r>
        <w:rPr>
          <w:rFonts w:ascii="微软雅黑" w:hAnsi="微软雅黑" w:eastAsia="微软雅黑"/>
          <w:sz w:val="20"/>
          <w:szCs w:val="20"/>
        </w:rPr>
        <w:t>版本）</w:t>
      </w:r>
      <w:r>
        <w:rPr>
          <w:rFonts w:hint="eastAsia" w:ascii="微软雅黑" w:hAnsi="微软雅黑" w:eastAsia="微软雅黑"/>
          <w:sz w:val="20"/>
          <w:szCs w:val="20"/>
        </w:rPr>
        <w:t>用word文档编制，投标报价表用Excel文档编制，均使用</w:t>
      </w:r>
      <w:r>
        <w:rPr>
          <w:rFonts w:ascii="微软雅黑" w:hAnsi="微软雅黑" w:eastAsia="微软雅黑"/>
          <w:sz w:val="20"/>
          <w:szCs w:val="20"/>
        </w:rPr>
        <w:t>A4纸打印装订</w:t>
      </w:r>
      <w:r>
        <w:rPr>
          <w:rFonts w:hint="eastAsia" w:ascii="微软雅黑" w:hAnsi="微软雅黑" w:eastAsia="微软雅黑"/>
          <w:sz w:val="20"/>
          <w:szCs w:val="20"/>
        </w:rPr>
        <w:t>。</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14.2投标文件的正本和副本均需打印或使用不褪色的蓝、黑墨水笔书写，并由投标人正式授权的一个人或几个人签名并加盖公章。相应的授权书应以书面委托的方式出具，书面委托书应使用本招标文件第四部分中给出的或经招标人同意的格式，并附在投标文件中。投标文件如有任何增加或修正，其正副本都应由被授权的投标文件签字人签名并加盖公章。</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14.3投标文件中，投标书及其附件应按照本招标文件第四部分“附录”中所附的格式打印或填写，投标书正副本中须加盖法人公章、法人代表名章或法人代表授权委托人的签字。</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14.4全套投标文件应无涂改、行间插字或删除，除非这些删改是根据已发出的招标文件补充文件的指示进行的，或者是投标人造成的必须修改的错误。在任何情况下，修改处应由被授权的投标文件签字人签字并加盖公章。</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14.5通过E-mail、电子邮件或传真形式提交的投标文件将不被接受。</w:t>
      </w:r>
    </w:p>
    <w:p>
      <w:pPr>
        <w:pStyle w:val="24"/>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4"/>
        <w:rPr>
          <w:rFonts w:ascii="微软雅黑" w:hAnsi="微软雅黑" w:eastAsia="微软雅黑"/>
        </w:rPr>
      </w:pPr>
      <w:bookmarkStart w:id="11" w:name="_Toc11623"/>
      <w:r>
        <w:rPr>
          <w:rFonts w:hint="eastAsia" w:ascii="微软雅黑" w:hAnsi="微软雅黑" w:eastAsia="微软雅黑"/>
        </w:rPr>
        <w:t>五、投标文件的递交</w:t>
      </w:r>
      <w:bookmarkEnd w:id="11"/>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15.标书的密封、标注及装订</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15.1本招标文件中规定的组成投标文件各项应密封，装订顺序参见本投标须知第9.1条，商务标和技术标分开装订，并在封面注明。</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15.2投标人应将投标文件中商务标（</w:t>
      </w:r>
      <w:r>
        <w:rPr>
          <w:rFonts w:hint="eastAsia" w:ascii="微软雅黑" w:hAnsi="微软雅黑" w:eastAsia="微软雅黑"/>
          <w:b/>
          <w:sz w:val="20"/>
          <w:szCs w:val="20"/>
        </w:rPr>
        <w:t>壹正壹副</w:t>
      </w:r>
      <w:r>
        <w:rPr>
          <w:rFonts w:hint="eastAsia" w:ascii="微软雅黑" w:hAnsi="微软雅黑" w:eastAsia="微软雅黑"/>
          <w:sz w:val="20"/>
          <w:szCs w:val="20"/>
        </w:rPr>
        <w:t>）、技术标（</w:t>
      </w:r>
      <w:r>
        <w:rPr>
          <w:rFonts w:hint="eastAsia" w:ascii="微软雅黑" w:hAnsi="微软雅黑" w:eastAsia="微软雅黑"/>
          <w:b/>
          <w:sz w:val="20"/>
          <w:szCs w:val="20"/>
        </w:rPr>
        <w:t>壹正肆副</w:t>
      </w:r>
      <w:r>
        <w:rPr>
          <w:rFonts w:hint="eastAsia" w:ascii="微软雅黑" w:hAnsi="微软雅黑" w:eastAsia="微软雅黑"/>
          <w:sz w:val="20"/>
          <w:szCs w:val="20"/>
        </w:rPr>
        <w:t>）、电子文档、报价函、投标产品宣传册（如有）分袋密封。</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15.3每个密封袋正面应按照规定加盖投标人公章和法定代表人印签各一枚。</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15.4密封袋除由投标人用自制封条在每个开口处密封并加盖投标人公章和法定代表人印鉴各一枚并标以密封日期外，其正面须标明：</w:t>
      </w:r>
    </w:p>
    <w:p>
      <w:pPr>
        <w:numPr>
          <w:ilvl w:val="0"/>
          <w:numId w:val="5"/>
        </w:numPr>
        <w:adjustRightInd w:val="0"/>
        <w:spacing w:line="440" w:lineRule="exact"/>
        <w:ind w:firstLine="75"/>
        <w:jc w:val="left"/>
        <w:textAlignment w:val="baseline"/>
        <w:rPr>
          <w:rFonts w:ascii="微软雅黑" w:hAnsi="微软雅黑" w:eastAsia="微软雅黑"/>
          <w:sz w:val="20"/>
          <w:szCs w:val="20"/>
        </w:rPr>
      </w:pPr>
      <w:r>
        <w:rPr>
          <w:rFonts w:hint="eastAsia" w:ascii="微软雅黑" w:hAnsi="微软雅黑" w:eastAsia="微软雅黑"/>
          <w:sz w:val="20"/>
          <w:szCs w:val="20"/>
        </w:rPr>
        <w:t>写明投标文件递交场所的名称和地址。</w:t>
      </w:r>
    </w:p>
    <w:p>
      <w:pPr>
        <w:numPr>
          <w:ilvl w:val="0"/>
          <w:numId w:val="5"/>
        </w:numPr>
        <w:adjustRightInd w:val="0"/>
        <w:spacing w:line="440" w:lineRule="exact"/>
        <w:ind w:firstLine="75"/>
        <w:jc w:val="left"/>
        <w:textAlignment w:val="baseline"/>
        <w:rPr>
          <w:rFonts w:ascii="微软雅黑" w:hAnsi="微软雅黑" w:eastAsia="微软雅黑"/>
          <w:sz w:val="20"/>
          <w:szCs w:val="20"/>
        </w:rPr>
      </w:pPr>
      <w:r>
        <w:rPr>
          <w:rFonts w:hint="eastAsia" w:ascii="微软雅黑" w:hAnsi="微软雅黑" w:eastAsia="微软雅黑"/>
          <w:sz w:val="20"/>
          <w:szCs w:val="20"/>
        </w:rPr>
        <w:t>具有下列识别标志：</w:t>
      </w:r>
    </w:p>
    <w:p>
      <w:pPr>
        <w:numPr>
          <w:ilvl w:val="0"/>
          <w:numId w:val="6"/>
        </w:numPr>
        <w:tabs>
          <w:tab w:val="left" w:pos="1050"/>
        </w:tabs>
        <w:adjustRightInd w:val="0"/>
        <w:spacing w:line="440" w:lineRule="exact"/>
        <w:ind w:left="735" w:firstLine="2"/>
        <w:jc w:val="left"/>
        <w:textAlignment w:val="baseline"/>
        <w:rPr>
          <w:rFonts w:ascii="微软雅黑" w:hAnsi="微软雅黑" w:eastAsia="微软雅黑"/>
          <w:sz w:val="20"/>
          <w:szCs w:val="20"/>
        </w:rPr>
      </w:pPr>
      <w:r>
        <w:rPr>
          <w:rFonts w:hint="eastAsia" w:ascii="微软雅黑" w:hAnsi="微软雅黑" w:eastAsia="微软雅黑"/>
          <w:sz w:val="20"/>
          <w:szCs w:val="20"/>
        </w:rPr>
        <w:t>投标名称“廊坊银行</w:t>
      </w:r>
      <w:r>
        <w:rPr>
          <w:rFonts w:hint="eastAsia" w:ascii="微软雅黑" w:hAnsi="微软雅黑" w:eastAsia="微软雅黑"/>
          <w:sz w:val="20"/>
          <w:szCs w:val="20"/>
          <w:lang w:eastAsia="zh-CN"/>
        </w:rPr>
        <w:t>供应链金融项目-网络设备采购</w:t>
      </w:r>
      <w:r>
        <w:rPr>
          <w:rFonts w:hint="eastAsia" w:ascii="微软雅黑" w:hAnsi="微软雅黑" w:eastAsia="微软雅黑"/>
          <w:sz w:val="20"/>
          <w:szCs w:val="20"/>
        </w:rPr>
        <w:t>”；</w:t>
      </w:r>
    </w:p>
    <w:p>
      <w:pPr>
        <w:numPr>
          <w:ilvl w:val="0"/>
          <w:numId w:val="6"/>
        </w:numPr>
        <w:tabs>
          <w:tab w:val="left" w:pos="1050"/>
        </w:tabs>
        <w:adjustRightInd w:val="0"/>
        <w:spacing w:line="440" w:lineRule="exact"/>
        <w:ind w:left="735" w:firstLine="2"/>
        <w:jc w:val="left"/>
        <w:textAlignment w:val="baseline"/>
        <w:rPr>
          <w:rFonts w:ascii="微软雅黑" w:hAnsi="微软雅黑" w:eastAsia="微软雅黑"/>
          <w:sz w:val="20"/>
          <w:szCs w:val="20"/>
        </w:rPr>
      </w:pPr>
      <w:r>
        <w:rPr>
          <w:rFonts w:hint="eastAsia" w:ascii="微软雅黑" w:hAnsi="微软雅黑" w:eastAsia="微软雅黑"/>
          <w:sz w:val="20"/>
          <w:szCs w:val="20"/>
        </w:rPr>
        <w:t>开标时间由招标人另行通知，此时间之前不得开封。</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15.5如果在密封袋上没有按上述规定密封、填写并加写标志，招标人将不承担投标文件错放或提前开封的责任，由此造成的过早开封的投标文件，招标人将予以拒绝，并退还给投标人。</w:t>
      </w:r>
    </w:p>
    <w:p>
      <w:pPr>
        <w:adjustRightInd w:val="0"/>
        <w:snapToGrid w:val="0"/>
        <w:spacing w:line="440" w:lineRule="exact"/>
        <w:ind w:left="400" w:hanging="400" w:hangingChars="200"/>
        <w:jc w:val="left"/>
        <w:rPr>
          <w:rFonts w:ascii="微软雅黑" w:hAnsi="微软雅黑" w:eastAsia="微软雅黑"/>
          <w:b/>
          <w:sz w:val="20"/>
          <w:szCs w:val="20"/>
        </w:rPr>
      </w:pPr>
      <w:r>
        <w:rPr>
          <w:rFonts w:hint="eastAsia" w:ascii="微软雅黑" w:hAnsi="微软雅黑" w:eastAsia="微软雅黑"/>
          <w:sz w:val="20"/>
          <w:szCs w:val="20"/>
        </w:rPr>
        <w:t>15.6</w:t>
      </w:r>
      <w:r>
        <w:rPr>
          <w:rFonts w:hint="eastAsia" w:ascii="微软雅黑" w:hAnsi="微软雅黑" w:eastAsia="微软雅黑"/>
          <w:b/>
          <w:sz w:val="20"/>
          <w:szCs w:val="20"/>
        </w:rPr>
        <w:t>投标文件的装订要求：</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 xml:space="preserve">“商务标”单独装订成册； </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 xml:space="preserve">“技术标”单独装订成册； </w:t>
      </w:r>
    </w:p>
    <w:p>
      <w:pPr>
        <w:spacing w:line="440" w:lineRule="exact"/>
        <w:ind w:firstLine="420" w:firstLineChars="210"/>
        <w:rPr>
          <w:rFonts w:ascii="微软雅黑" w:hAnsi="微软雅黑" w:eastAsia="微软雅黑"/>
          <w:b/>
          <w:sz w:val="20"/>
          <w:szCs w:val="20"/>
        </w:rPr>
      </w:pPr>
      <w:r>
        <w:rPr>
          <w:rFonts w:hint="eastAsia" w:ascii="微软雅黑" w:hAnsi="微软雅黑" w:eastAsia="微软雅黑"/>
          <w:b/>
          <w:sz w:val="20"/>
          <w:szCs w:val="20"/>
        </w:rPr>
        <w:t>投标文件各册均须在左侧书本式进行装订（胶装），装订须牢固不易拆散和换页，不得采用活页等打孔或夹装等简易方式装订。</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16.投标截止时间</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16.1投标文件必须按《前附表》规定的地址并不得迟于投标截止时间送达。</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16.2按招标须知第6.3条，招标人可以延长递交投标文件的截止时间，在这种情况下，招标人及投标人的责任和义务将在延长期内有效。</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17.迟到的投标文件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17.1根据在投标须知第16条规定，投标截止时间后送达的任何投标文件，将被视为无效并拒收。</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18.投标文件的修改与撤回</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18.1投标人可以在递交投标文件以后，修改或撤回其投标文件。但这种修改与撤回的通知应在《前附表》规定的投标截止时间前送达招标人，并得到招标人的书面确认。</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18.2投标人的修改或撤回通知应按本投标须知第15条关于投标文件递交的规定备制、密封、标志和递交，另外还应在密封袋上标明“修改”或“撤回”字样。撤回通知也可以E-mail或传真，但必须同时寄出一份投标人代表签字的真实原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18.3投标文件在投标截止时间之后不能修改。</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18.4投标文件在投标截止时间至投标人在投标表格中写明的投标有效期终止之日之间不能撤回。</w:t>
      </w:r>
    </w:p>
    <w:p>
      <w:pPr>
        <w:adjustRightInd w:val="0"/>
        <w:snapToGrid w:val="0"/>
        <w:spacing w:line="440" w:lineRule="exact"/>
        <w:ind w:left="400" w:hanging="400" w:hangingChars="200"/>
        <w:jc w:val="left"/>
        <w:rPr>
          <w:rFonts w:ascii="微软雅黑" w:hAnsi="微软雅黑" w:eastAsia="微软雅黑"/>
          <w:sz w:val="20"/>
          <w:szCs w:val="20"/>
        </w:rPr>
        <w:sectPr>
          <w:pgSz w:w="11909" w:h="16834"/>
          <w:pgMar w:top="1440" w:right="1134" w:bottom="1440" w:left="1134" w:header="0" w:footer="907" w:gutter="0"/>
          <w:pgNumType w:fmt="decimalFullWidth"/>
          <w:cols w:space="720" w:num="1"/>
          <w:docGrid w:linePitch="286" w:charSpace="0"/>
        </w:sectPr>
      </w:pPr>
    </w:p>
    <w:p>
      <w:pPr>
        <w:pStyle w:val="24"/>
        <w:rPr>
          <w:rFonts w:ascii="微软雅黑" w:hAnsi="微软雅黑" w:eastAsia="微软雅黑"/>
        </w:rPr>
      </w:pPr>
      <w:bookmarkStart w:id="12" w:name="_Toc5413"/>
      <w:r>
        <w:rPr>
          <w:rFonts w:hint="eastAsia" w:ascii="微软雅黑" w:hAnsi="微软雅黑" w:eastAsia="微软雅黑"/>
        </w:rPr>
        <w:t>六、开标及评标</w:t>
      </w:r>
      <w:bookmarkEnd w:id="12"/>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19.开标</w:t>
      </w:r>
    </w:p>
    <w:p>
      <w:pPr>
        <w:widowControl/>
        <w:spacing w:line="440" w:lineRule="exact"/>
        <w:ind w:firstLine="495"/>
        <w:jc w:val="left"/>
        <w:rPr>
          <w:rFonts w:ascii="微软雅黑" w:hAnsi="微软雅黑" w:eastAsia="微软雅黑"/>
          <w:sz w:val="20"/>
          <w:szCs w:val="20"/>
        </w:rPr>
      </w:pPr>
      <w:r>
        <w:rPr>
          <w:rFonts w:hint="eastAsia" w:ascii="微软雅黑" w:hAnsi="微软雅黑" w:eastAsia="微软雅黑"/>
          <w:sz w:val="20"/>
          <w:szCs w:val="20"/>
        </w:rPr>
        <w:t>招标人组织开标，投标人必须委派</w:t>
      </w:r>
      <w:r>
        <w:rPr>
          <w:rFonts w:hint="eastAsia" w:ascii="微软雅黑" w:hAnsi="微软雅黑" w:eastAsia="微软雅黑"/>
          <w:b/>
          <w:sz w:val="24"/>
          <w:szCs w:val="20"/>
        </w:rPr>
        <w:t>负责本项目经理</w:t>
      </w:r>
      <w:r>
        <w:rPr>
          <w:rFonts w:hint="eastAsia" w:ascii="微软雅黑" w:hAnsi="微软雅黑" w:eastAsia="微软雅黑"/>
          <w:sz w:val="20"/>
          <w:szCs w:val="20"/>
        </w:rPr>
        <w:t>现场讲标，</w:t>
      </w:r>
      <w:r>
        <w:rPr>
          <w:rFonts w:hint="eastAsia" w:ascii="微软雅黑" w:hAnsi="微软雅黑" w:eastAsia="微软雅黑"/>
          <w:b/>
          <w:sz w:val="24"/>
          <w:szCs w:val="20"/>
        </w:rPr>
        <w:t>讲标时间2</w:t>
      </w:r>
      <w:r>
        <w:rPr>
          <w:rFonts w:ascii="微软雅黑" w:hAnsi="微软雅黑" w:eastAsia="微软雅黑"/>
          <w:b/>
          <w:sz w:val="24"/>
          <w:szCs w:val="20"/>
        </w:rPr>
        <w:t>0</w:t>
      </w:r>
      <w:r>
        <w:rPr>
          <w:rFonts w:hint="eastAsia" w:ascii="微软雅黑" w:hAnsi="微软雅黑" w:eastAsia="微软雅黑"/>
          <w:b/>
          <w:sz w:val="24"/>
          <w:szCs w:val="20"/>
        </w:rPr>
        <w:t>分钟</w:t>
      </w:r>
      <w:r>
        <w:rPr>
          <w:rFonts w:hint="eastAsia" w:ascii="微软雅黑" w:hAnsi="微软雅黑" w:eastAsia="微软雅黑"/>
          <w:sz w:val="20"/>
          <w:szCs w:val="20"/>
        </w:rPr>
        <w:t>。</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19.1除了对按照本招标须知第18条的规定提交了合格的撤回通知书的投标文件将不予开封之外，招标人将检查投标文件，以便确定它们的密封、标志、备注是否符合本招标文件的规定以及投标文件的组成是否完整，是否正确地签署了文件以及是否按顺序编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19.2在开标现场，招标人对投标人的名称、投标报价、提供的全部折扣等进行记录。</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20.无效标书的条件</w:t>
      </w:r>
    </w:p>
    <w:p>
      <w:pPr>
        <w:tabs>
          <w:tab w:val="left" w:pos="3675"/>
        </w:tabs>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投标书有下列情况之一者视为无效标书（包括但不限于下列情况）, 对被认定无效标书的，招标人无须对投标人进行解释。</w:t>
      </w:r>
    </w:p>
    <w:p>
      <w:pPr>
        <w:numPr>
          <w:ilvl w:val="0"/>
          <w:numId w:val="7"/>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投标文件未能按照规定包装密封；</w:t>
      </w:r>
    </w:p>
    <w:p>
      <w:pPr>
        <w:numPr>
          <w:ilvl w:val="0"/>
          <w:numId w:val="7"/>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未能提供有效的企业法人身份证明或授权委托书；</w:t>
      </w:r>
    </w:p>
    <w:p>
      <w:pPr>
        <w:numPr>
          <w:ilvl w:val="0"/>
          <w:numId w:val="7"/>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投标文件内容不全或未按规定填写或重要内容字迹模糊、辨认不清或涂改未加盖公章确认的；</w:t>
      </w:r>
    </w:p>
    <w:p>
      <w:pPr>
        <w:numPr>
          <w:ilvl w:val="0"/>
          <w:numId w:val="7"/>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投标函、商务标无投标人公章及其法定代表人(或者授权委托人)印鉴(或签字)的；投标函、商务标上的印鉴与资质证书上的名称、名字不符；投标人提供的有关资料、证书、证明材料有假或伪造的；</w:t>
      </w:r>
    </w:p>
    <w:p>
      <w:pPr>
        <w:numPr>
          <w:ilvl w:val="0"/>
          <w:numId w:val="7"/>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投标文件逾期送达的；</w:t>
      </w:r>
    </w:p>
    <w:p>
      <w:pPr>
        <w:numPr>
          <w:ilvl w:val="0"/>
          <w:numId w:val="7"/>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未按规定的投标报价表格格式报价或随意更改报价内容的；</w:t>
      </w:r>
    </w:p>
    <w:p>
      <w:pPr>
        <w:numPr>
          <w:ilvl w:val="0"/>
          <w:numId w:val="7"/>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投标人有弄虚作假、串通陪标、哄抬标价或虚报企业资质等舞弊行为；投标人存在其他符合《中华人民共和国招标投标法》中有关废标规定的行为的。</w:t>
      </w:r>
    </w:p>
    <w:p>
      <w:pPr>
        <w:widowControl/>
        <w:spacing w:line="440" w:lineRule="exact"/>
        <w:ind w:left="800" w:hanging="800"/>
        <w:jc w:val="left"/>
        <w:rPr>
          <w:rFonts w:ascii="微软雅黑" w:hAnsi="微软雅黑" w:eastAsia="微软雅黑"/>
          <w:b/>
          <w:sz w:val="20"/>
          <w:szCs w:val="20"/>
        </w:rPr>
      </w:pPr>
      <w:r>
        <w:rPr>
          <w:rFonts w:hint="eastAsia" w:ascii="微软雅黑" w:hAnsi="微软雅黑" w:eastAsia="微软雅黑"/>
          <w:b/>
          <w:sz w:val="20"/>
          <w:szCs w:val="20"/>
        </w:rPr>
        <w:t>21.投标文件合格性和有效性的确定</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21.1在详细评标前，招标人与招标小组将首先审定每份投标文件是否在实质上响应招标文件的要求，即所谓符合性和完整性评审。</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21.2实质上响应招标文件要求的投标文件，应该与招标文件中包括的全部条款、条件和规范相符，无重大差异或保留。所谓重大差异或保留是指对招标范围、技术要求、质量、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21.3招标人将拒绝实质性不响应招标文件要求的投标文件，并且不允许相关投标人通过修改或撤消其重大差异或保留而使其投标文件响应招标文件的要求或行为。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21.4投标人以他人的名义投标、串通投标、以行贿手段谋取中标或者以其他弄虚作假方式投标的，该投标人的投标将作废标处理。</w:t>
      </w:r>
    </w:p>
    <w:p>
      <w:pPr>
        <w:widowControl/>
        <w:spacing w:line="440" w:lineRule="exact"/>
        <w:ind w:left="800" w:hanging="800"/>
        <w:jc w:val="left"/>
        <w:rPr>
          <w:rFonts w:ascii="微软雅黑" w:hAnsi="微软雅黑" w:eastAsia="微软雅黑"/>
          <w:b/>
          <w:sz w:val="20"/>
          <w:szCs w:val="20"/>
        </w:rPr>
      </w:pPr>
      <w:r>
        <w:rPr>
          <w:rFonts w:hint="eastAsia" w:ascii="微软雅黑" w:hAnsi="微软雅黑" w:eastAsia="微软雅黑"/>
          <w:b/>
          <w:sz w:val="20"/>
          <w:szCs w:val="20"/>
        </w:rPr>
        <w:t>22.错误和不平衡报价的修正</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22.1错误和不平衡报价修正的目的是为了避免投标人因算术方面的错误或投标人采用诸如“不平衡报价”等不合理的报价策略导致投标人中标后合同双方的正当经济利益受损。</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22.2对于实质上符合招标文件要求的投标文件，招标人将对其报价进行校核，看其是否有计算上或表达上的错误，修正错误的原则如下：</w:t>
      </w:r>
    </w:p>
    <w:p>
      <w:pPr>
        <w:numPr>
          <w:ilvl w:val="0"/>
          <w:numId w:val="8"/>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如果数字表示的金额与文字表示的金额不一致时，应以文字表示的金额为准；</w:t>
      </w:r>
    </w:p>
    <w:p>
      <w:pPr>
        <w:numPr>
          <w:ilvl w:val="0"/>
          <w:numId w:val="8"/>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如果单价和按单价及数量累计得到的总价之间存在差异，则以单价为主，改正总价，如果投标总价和全部标价的合计之间存在差异，以全部标价为准，投标总价将被改正。除非招标人认为单价有明显的小数点错误，此时应以标出的合价为准，并修改单价；</w:t>
      </w:r>
    </w:p>
    <w:p>
      <w:pPr>
        <w:numPr>
          <w:ilvl w:val="0"/>
          <w:numId w:val="8"/>
        </w:numPr>
        <w:spacing w:line="440" w:lineRule="exact"/>
        <w:jc w:val="left"/>
        <w:rPr>
          <w:rFonts w:ascii="微软雅黑" w:hAnsi="微软雅黑" w:eastAsia="微软雅黑"/>
          <w:b/>
          <w:sz w:val="20"/>
          <w:szCs w:val="20"/>
        </w:rPr>
      </w:pPr>
      <w:r>
        <w:rPr>
          <w:rFonts w:hint="eastAsia" w:ascii="微软雅黑" w:hAnsi="微软雅黑" w:eastAsia="微软雅黑"/>
          <w:sz w:val="20"/>
          <w:szCs w:val="20"/>
        </w:rPr>
        <w:t>按上述修正错误的原则及方法调整或修正投标文件的投标报价，投标人同意后，调整后的投标报价对投标人起约束作用。如果投标人不接受修正后的报价，则其投标将被拒绝，并不影响评标工作。</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23.投标文件的澄清</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23.1在评标阶段，为了帮助对投标文件的检查、评价和比较，必要时，招标人可以书面通知投标人要求澄清投标文件的问题，或者要求补充某些资料，包括单价和分析资料，投标人应按要求进行书面答复，但不允许对标价和标书的实质性内容改动。</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23.2有关澄清的要求和答复，均应以书面形式进行，投标人的答复书面文件作为投标文件的一部分。</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23.3如投标人没有在要求的时间内给予书面答复，招标人将仍按原投标文件内容进行评标或将其视为无效标书。</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24.与招标人的接触</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24.1从开标到签订合作协议之间，投标人都不应与招标人或其工作人员接触打听有关自己或他人投标文件的情况。</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24.2任何影响招标人评标、定标的活动，都将导致对投标人的投标文件的拒绝。</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25.接受和拒绝接受投标的权力</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25.1在中标通知书发出之前的任何时候，招标人有权接受或拒绝任何投标，有权宣布投标无效或拒绝所有投标，有权拒绝标价最低或其它任何标价的投标文件，并对由此而引起的投标人的影响不承担责任，也没任何义务向投标人解释采取这一行动的理由。</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26.评标原则、方法、程序</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26.1采用综合评分法，商务标权重占</w:t>
      </w:r>
      <w:r>
        <w:rPr>
          <w:rFonts w:hint="eastAsia" w:ascii="微软雅黑" w:hAnsi="微软雅黑" w:eastAsia="微软雅黑"/>
          <w:sz w:val="20"/>
          <w:szCs w:val="20"/>
          <w:lang w:val="en-US" w:eastAsia="zh-CN"/>
        </w:rPr>
        <w:t>6</w:t>
      </w:r>
      <w:r>
        <w:rPr>
          <w:rFonts w:ascii="微软雅黑" w:hAnsi="微软雅黑" w:eastAsia="微软雅黑"/>
          <w:sz w:val="20"/>
          <w:szCs w:val="20"/>
        </w:rPr>
        <w:t>0</w:t>
      </w:r>
      <w:r>
        <w:rPr>
          <w:rFonts w:hint="eastAsia" w:ascii="微软雅黑" w:hAnsi="微软雅黑" w:eastAsia="微软雅黑"/>
          <w:sz w:val="20"/>
          <w:szCs w:val="20"/>
        </w:rPr>
        <w:t>%，技术标权重占</w:t>
      </w:r>
      <w:r>
        <w:rPr>
          <w:rFonts w:hint="eastAsia" w:ascii="微软雅黑" w:hAnsi="微软雅黑" w:eastAsia="微软雅黑"/>
          <w:sz w:val="20"/>
          <w:szCs w:val="20"/>
          <w:lang w:val="en-US" w:eastAsia="zh-CN"/>
        </w:rPr>
        <w:t>4</w:t>
      </w:r>
      <w:r>
        <w:rPr>
          <w:rFonts w:hint="eastAsia" w:ascii="微软雅黑" w:hAnsi="微软雅黑" w:eastAsia="微软雅黑"/>
          <w:sz w:val="20"/>
          <w:szCs w:val="20"/>
        </w:rPr>
        <w:t>0%。</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招标人将判断投标人是否能圆满地履行合作协议，并按评标办法进行评价。如投标人没资格履行合作协议，其投标文件将被拒绝，招标人将对下一个以合理得分而响应招标文件的投标人进行相似决定，或重新组织招标。</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主要考核依据如下：</w:t>
      </w:r>
    </w:p>
    <w:p>
      <w:pPr>
        <w:pStyle w:val="38"/>
        <w:widowControl/>
        <w:numPr>
          <w:ilvl w:val="0"/>
          <w:numId w:val="9"/>
        </w:numPr>
        <w:spacing w:line="440" w:lineRule="exact"/>
        <w:ind w:firstLineChars="0"/>
        <w:jc w:val="left"/>
        <w:rPr>
          <w:rFonts w:ascii="微软雅黑" w:hAnsi="微软雅黑" w:eastAsia="微软雅黑"/>
          <w:sz w:val="20"/>
          <w:szCs w:val="20"/>
        </w:rPr>
      </w:pPr>
      <w:r>
        <w:rPr>
          <w:rFonts w:hint="eastAsia" w:ascii="微软雅黑" w:hAnsi="微软雅黑" w:eastAsia="微软雅黑"/>
          <w:sz w:val="20"/>
          <w:szCs w:val="20"/>
        </w:rPr>
        <w:t>采用由商务标和技术标综合评分作为对投标人考核；</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26.2评标原则</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招标人将按照公开、公平、公正及诚实守信；科学合理；反不正当竞争；“能够最大限度的满足招标文件中规定的各项综合评价标准”的原则确定中标人，但投标报价低于其个别成本的除外；招标人并非必须把合作协议授予投标价格最低的投标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26.3评标程序</w:t>
      </w:r>
    </w:p>
    <w:p>
      <w:pPr>
        <w:pStyle w:val="39"/>
        <w:spacing w:line="440" w:lineRule="exact"/>
        <w:rPr>
          <w:rFonts w:ascii="微软雅黑" w:hAnsi="微软雅黑" w:eastAsia="微软雅黑"/>
          <w:sz w:val="20"/>
        </w:rPr>
      </w:pPr>
      <w:r>
        <w:rPr>
          <w:rFonts w:hint="eastAsia" w:ascii="微软雅黑" w:hAnsi="微软雅黑" w:eastAsia="微软雅黑"/>
          <w:sz w:val="20"/>
        </w:rPr>
        <w:t xml:space="preserve">招标小组按照下面的步骤进行评标： </w:t>
      </w:r>
    </w:p>
    <w:p>
      <w:pPr>
        <w:pStyle w:val="39"/>
        <w:spacing w:line="440" w:lineRule="exact"/>
        <w:rPr>
          <w:rFonts w:ascii="微软雅黑" w:hAnsi="微软雅黑" w:eastAsia="微软雅黑"/>
          <w:sz w:val="20"/>
        </w:rPr>
      </w:pPr>
      <w:r>
        <w:rPr>
          <w:rFonts w:hint="eastAsia" w:ascii="微软雅黑" w:hAnsi="微软雅黑" w:eastAsia="微软雅黑"/>
          <w:sz w:val="20"/>
        </w:rPr>
        <w:t xml:space="preserve">    第一步：评标准备工作。 </w:t>
      </w:r>
    </w:p>
    <w:p>
      <w:pPr>
        <w:pStyle w:val="39"/>
        <w:spacing w:line="440" w:lineRule="exact"/>
        <w:rPr>
          <w:rFonts w:ascii="微软雅黑" w:hAnsi="微软雅黑" w:eastAsia="微软雅黑"/>
          <w:sz w:val="20"/>
        </w:rPr>
      </w:pPr>
      <w:r>
        <w:rPr>
          <w:rFonts w:hint="eastAsia" w:ascii="微软雅黑" w:hAnsi="微软雅黑" w:eastAsia="微软雅黑"/>
          <w:sz w:val="20"/>
        </w:rPr>
        <w:t>    第二步：初步评审（符合性和完整性评审）。</w:t>
      </w:r>
    </w:p>
    <w:p>
      <w:pPr>
        <w:pStyle w:val="39"/>
        <w:spacing w:line="440" w:lineRule="exact"/>
        <w:ind w:left="1100" w:hanging="1100" w:hangingChars="550"/>
        <w:rPr>
          <w:rFonts w:ascii="微软雅黑" w:hAnsi="微软雅黑" w:eastAsia="微软雅黑"/>
          <w:sz w:val="20"/>
        </w:rPr>
      </w:pPr>
      <w:r>
        <w:rPr>
          <w:rFonts w:hint="eastAsia" w:ascii="微软雅黑" w:hAnsi="微软雅黑" w:eastAsia="微软雅黑"/>
          <w:sz w:val="20"/>
        </w:rPr>
        <w:t>    第三步：技术部分评审（B）：技术标评审得分满分100分。均采取量化打分方式。</w:t>
      </w:r>
    </w:p>
    <w:p>
      <w:pPr>
        <w:pStyle w:val="39"/>
        <w:spacing w:line="440" w:lineRule="exact"/>
        <w:rPr>
          <w:rFonts w:ascii="微软雅黑" w:hAnsi="微软雅黑" w:eastAsia="微软雅黑"/>
          <w:sz w:val="20"/>
        </w:rPr>
      </w:pPr>
      <w:r>
        <w:rPr>
          <w:rFonts w:hint="eastAsia" w:ascii="微软雅黑" w:hAnsi="微软雅黑" w:eastAsia="微软雅黑"/>
          <w:sz w:val="20"/>
        </w:rPr>
        <w:t xml:space="preserve">   第四步：商务部分评审(A)（商务标评审得分满分100分）。 </w:t>
      </w:r>
    </w:p>
    <w:p>
      <w:pPr>
        <w:autoSpaceDE w:val="0"/>
        <w:autoSpaceDN w:val="0"/>
        <w:adjustRightInd w:val="0"/>
        <w:spacing w:line="440" w:lineRule="exact"/>
        <w:ind w:left="200"/>
        <w:jc w:val="left"/>
        <w:rPr>
          <w:rFonts w:ascii="微软雅黑" w:hAnsi="微软雅黑" w:eastAsia="微软雅黑"/>
          <w:kern w:val="0"/>
          <w:sz w:val="20"/>
          <w:szCs w:val="20"/>
        </w:rPr>
      </w:pPr>
      <w:r>
        <w:rPr>
          <w:rFonts w:hint="eastAsia" w:ascii="微软雅黑" w:hAnsi="微软雅黑" w:eastAsia="微软雅黑"/>
          <w:kern w:val="0"/>
          <w:sz w:val="20"/>
          <w:szCs w:val="20"/>
        </w:rPr>
        <w:t xml:space="preserve">商务标得分 = 投标报价综合评定分值 </w:t>
      </w:r>
    </w:p>
    <w:p>
      <w:pPr>
        <w:pStyle w:val="39"/>
        <w:spacing w:line="440" w:lineRule="exact"/>
        <w:rPr>
          <w:rFonts w:ascii="微软雅黑" w:hAnsi="微软雅黑" w:eastAsia="微软雅黑"/>
          <w:sz w:val="20"/>
        </w:rPr>
      </w:pPr>
      <w:r>
        <w:rPr>
          <w:rFonts w:hint="eastAsia" w:ascii="微软雅黑" w:hAnsi="微软雅黑" w:eastAsia="微软雅黑"/>
          <w:sz w:val="20"/>
        </w:rPr>
        <w:t>   第五步： 汇总技术部分和商务部分评分结果，计算综合加权得分并按综合加权得分由高至低排出名次，推荐综合评分第</w:t>
      </w:r>
      <w:r>
        <w:rPr>
          <w:rFonts w:hint="eastAsia" w:ascii="微软雅黑" w:hAnsi="微软雅黑" w:eastAsia="微软雅黑"/>
          <w:kern w:val="2"/>
          <w:sz w:val="20"/>
          <w:szCs w:val="22"/>
        </w:rPr>
        <w:t>一名</w:t>
      </w:r>
      <w:r>
        <w:rPr>
          <w:rFonts w:hint="eastAsia" w:ascii="微软雅黑" w:hAnsi="微软雅黑" w:eastAsia="微软雅黑"/>
          <w:sz w:val="20"/>
        </w:rPr>
        <w:t>作为中标候选人。</w:t>
      </w:r>
    </w:p>
    <w:p>
      <w:pPr>
        <w:pStyle w:val="40"/>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商务标权重为 （α）</w:t>
      </w:r>
      <w:r>
        <w:rPr>
          <w:rFonts w:hint="eastAsia" w:ascii="微软雅黑" w:hAnsi="微软雅黑" w:eastAsia="微软雅黑"/>
          <w:sz w:val="20"/>
          <w:lang w:val="en-US" w:eastAsia="zh-CN"/>
        </w:rPr>
        <w:t>6</w:t>
      </w:r>
      <w:r>
        <w:rPr>
          <w:rFonts w:hint="eastAsia" w:ascii="微软雅黑" w:hAnsi="微软雅黑" w:eastAsia="微软雅黑"/>
          <w:sz w:val="20"/>
        </w:rPr>
        <w:t xml:space="preserve">0% ；技术标权重（β）为 </w:t>
      </w:r>
      <w:r>
        <w:rPr>
          <w:rFonts w:hint="eastAsia" w:ascii="微软雅黑" w:hAnsi="微软雅黑" w:eastAsia="微软雅黑"/>
          <w:sz w:val="20"/>
          <w:lang w:val="en-US" w:eastAsia="zh-CN"/>
        </w:rPr>
        <w:t>4</w:t>
      </w:r>
      <w:r>
        <w:rPr>
          <w:rFonts w:hint="eastAsia" w:ascii="微软雅黑" w:hAnsi="微软雅黑" w:eastAsia="微软雅黑"/>
          <w:sz w:val="20"/>
        </w:rPr>
        <w:t>0%；</w:t>
      </w:r>
    </w:p>
    <w:p>
      <w:pPr>
        <w:pStyle w:val="40"/>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综合评审得分（N）的计算方法为：N=A×α+B×β</w:t>
      </w:r>
    </w:p>
    <w:p>
      <w:pPr>
        <w:pStyle w:val="40"/>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按照综合评审得分由高到低的顺序确定中标候选人。</w:t>
      </w:r>
    </w:p>
    <w:p>
      <w:pPr>
        <w:widowControl/>
        <w:spacing w:line="440" w:lineRule="exact"/>
        <w:ind w:firstLine="400" w:firstLineChars="200"/>
        <w:jc w:val="left"/>
        <w:rPr>
          <w:rFonts w:ascii="微软雅黑" w:hAnsi="微软雅黑" w:eastAsia="微软雅黑"/>
          <w:kern w:val="0"/>
          <w:sz w:val="20"/>
          <w:szCs w:val="20"/>
        </w:rPr>
      </w:pPr>
      <w:r>
        <w:rPr>
          <w:rFonts w:hint="eastAsia" w:ascii="微软雅黑" w:hAnsi="微软雅黑" w:eastAsia="微软雅黑"/>
          <w:kern w:val="0"/>
          <w:sz w:val="20"/>
          <w:szCs w:val="20"/>
        </w:rPr>
        <w:t xml:space="preserve">第六步：整理评审成果，编制评标报告并由招标小组全体成员签字确认后向招标人递交评标报告。评标活动结束，招标小组即告解散。  </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 xml:space="preserve">26.4评审内容与方法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第一步、评审准备工作</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1.招标小组成员认真研究招标文件，了解和熟悉招标的目的、招标范围、主要合同条件、招标项目的技术标准和工期要求，掌握评标标准和方法，熟悉本办法中包括的评标表格的使用，如果本办法所附的表格不能满足评标所需时，招标小组应补充编制评标所需的表格，尤其是用于详细分析计算的表格。未在本办法中规定的标准和方法，不得作为评标的依据。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2.招标小组准备评标所需的信息和数据， 包括投标文件、有关的法律、法规、规章、国家标准以及招标小组认为必要的其他信息数据。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第二步、初步评审</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在详细评标前，招标小组应根据招标文件，对所有投标文件进行审查，并以此为基础，在详细评标前，招标人及其招标小组将首先审定每份投标文件，逐项列出每一份投标文件的全部投标偏差，结合本办法规定的废标条件，审定每份投标文件是否响应招标文件的实质性要求和条件，即所谓符合性和完整性评审。</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实质上响应招标文件要求的投标文件，应与本招标文件中包括的全部条款、条件和规范相符，无重大差异或保留。所谓重大差异或保留是指对采购的范围、质量、工期、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初步评审阶段废标条件：</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1) 投标文件未按规定准备和填写的；投标文件的关键内容字迹模糊、无法辨认并因此影响到评标工作的正常进行；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2) 投标文件中的投标书未加盖投标人的企业及企业法定代表人或其授权委托的代理人印章的；</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3) 投标工期超过招标文件要求的工期的；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4) 投标质量标准低于招标文件要求的质量标准的；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5) 投标人递交两份或多份内容不同的投标文件，或在一份投标文件中对本招标工程报有两个或多个报价，且未声明哪一个有效的（但按招标文件规定提交备选投标方案的除外）；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6) 投标人存在以他人的名义投标、串通投标、以行贿手段谋取中标或者以其他弄虚作假方式投标的。</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不响应招标文件实质性要求和条件的投标文件将被拒绝，并且不允许相关投标人通过修正或撤消其不符合要求的差异或保留而使其成为响应性的投标。初步评审时被拒绝的投标文件，不再参与任何后续评审。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第三步、技术部分评审</w:t>
      </w:r>
    </w:p>
    <w:p>
      <w:pPr>
        <w:pStyle w:val="40"/>
        <w:numPr>
          <w:ilvl w:val="0"/>
          <w:numId w:val="10"/>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rPr>
        <w:t xml:space="preserve">招标小组将根据招标文件中的要求以及投标人递交的投标文件中的相关内容对技术部分进行评审，并按设定的评审内容和评分标准进行量化打分。 </w:t>
      </w:r>
    </w:p>
    <w:p>
      <w:pPr>
        <w:pStyle w:val="40"/>
        <w:numPr>
          <w:ilvl w:val="0"/>
          <w:numId w:val="10"/>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rPr>
        <w:t>招标小组技术标评委各成员根据技术标权重进行技术标评分汇总。</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b/>
          <w:sz w:val="20"/>
          <w:szCs w:val="20"/>
        </w:rPr>
        <w:t>第四步、商务部分评审</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所谓商务部分评审，对经初步评审合格的投标文件中的商务部分进行数据整理和分析，从而发现其中可能存在的对招标范围理解的偏差、投标报价的算术性错误、错漏项、投标报价构成不合理、不平衡报价等问题，并就这些问题整理出质疑问卷。并根据投标人澄清结果，对商务标进行排序。</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 1、算术性错误分析和修正；招标小组将对经初步评审合格的投标文件中的投标报价进行校核，并对算术上或累加运算上的错误予以修正。算术性错误分析和修正的原则如下：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 1）用数字表示的数额与用文字表示的数额不一致时，以文字数额为准；</w:t>
      </w:r>
    </w:p>
    <w:p>
      <w:pPr>
        <w:widowControl/>
        <w:spacing w:line="440" w:lineRule="exact"/>
        <w:ind w:firstLine="500" w:firstLineChars="250"/>
        <w:jc w:val="left"/>
        <w:rPr>
          <w:rFonts w:ascii="微软雅黑" w:hAnsi="微软雅黑" w:eastAsia="微软雅黑"/>
          <w:sz w:val="20"/>
          <w:szCs w:val="20"/>
        </w:rPr>
      </w:pPr>
      <w:r>
        <w:rPr>
          <w:rFonts w:hint="eastAsia" w:ascii="微软雅黑" w:hAnsi="微软雅黑" w:eastAsia="微软雅黑"/>
          <w:sz w:val="20"/>
          <w:szCs w:val="20"/>
        </w:rPr>
        <w:t xml:space="preserve">2）当清单单价与单价分析表不一致时，以单价分析表为准，并修订清单单价； </w:t>
      </w:r>
    </w:p>
    <w:p>
      <w:pPr>
        <w:widowControl/>
        <w:spacing w:line="440" w:lineRule="exact"/>
        <w:ind w:left="239" w:leftChars="114" w:firstLine="300" w:firstLineChars="150"/>
        <w:jc w:val="left"/>
        <w:rPr>
          <w:rFonts w:ascii="微软雅黑" w:hAnsi="微软雅黑" w:eastAsia="微软雅黑"/>
          <w:sz w:val="20"/>
          <w:szCs w:val="20"/>
        </w:rPr>
      </w:pPr>
      <w:r>
        <w:rPr>
          <w:rFonts w:hint="eastAsia" w:ascii="微软雅黑" w:hAnsi="微软雅黑" w:eastAsia="微软雅黑"/>
          <w:sz w:val="20"/>
          <w:szCs w:val="20"/>
        </w:rPr>
        <w:t xml:space="preserve">3）单价与工程量的乘积与总价之间不一致时，以单价为准。若单价有明显的小数点错位，应以总价为准，并修改单价； </w:t>
      </w:r>
    </w:p>
    <w:p>
      <w:pPr>
        <w:widowControl/>
        <w:spacing w:line="440" w:lineRule="exact"/>
        <w:ind w:left="239" w:leftChars="114" w:firstLine="300" w:firstLineChars="150"/>
        <w:jc w:val="left"/>
        <w:rPr>
          <w:rFonts w:ascii="微软雅黑" w:hAnsi="微软雅黑" w:eastAsia="微软雅黑"/>
          <w:sz w:val="20"/>
          <w:szCs w:val="20"/>
        </w:rPr>
      </w:pPr>
      <w:r>
        <w:rPr>
          <w:rFonts w:hint="eastAsia" w:ascii="微软雅黑" w:hAnsi="微软雅黑" w:eastAsia="微软雅黑"/>
          <w:sz w:val="20"/>
          <w:szCs w:val="20"/>
        </w:rPr>
        <w:t xml:space="preserve">4）当标出的分项乘积累计得出的合价与标出的合价不一致时，以标出的分项乘积合价为准，并修改标出的合价。        </w:t>
      </w:r>
    </w:p>
    <w:p>
      <w:pPr>
        <w:widowControl/>
        <w:spacing w:line="440" w:lineRule="exact"/>
        <w:ind w:left="239" w:leftChars="114" w:firstLine="300" w:firstLineChars="150"/>
        <w:jc w:val="left"/>
        <w:rPr>
          <w:rFonts w:ascii="微软雅黑" w:hAnsi="微软雅黑" w:eastAsia="微软雅黑"/>
          <w:sz w:val="20"/>
          <w:szCs w:val="20"/>
        </w:rPr>
      </w:pPr>
      <w:r>
        <w:rPr>
          <w:rFonts w:hint="eastAsia" w:ascii="微软雅黑" w:hAnsi="微软雅黑" w:eastAsia="微软雅黑"/>
          <w:sz w:val="20"/>
          <w:szCs w:val="20"/>
        </w:rPr>
        <w:t>2、判断投标报价是否合理，投标报价是否不低于成本（指投标人的个别成本，下同），必要时对投标人进行书面质疑：</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1）如果投标人的报价明显低于其他投标报价，招标小组应当要求该投标人做出书面澄清说明，并提供相关证明材料；</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2）投标人不能合理说明或不能提供相关证明材料的，如果经过分析由招标小组认定该投标人以低于成本报价竞标，其投标应作废标处理；</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3）如果招标小组对投标人提交的澄清、说明或者补正依然存在疑问，招标小组可以进一步质疑。投标人对这种进一步质疑应相应地进一步澄清、说明或者补正，直至招标小组认为全部质疑都得到澄清、说明或者补正；</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4）经投标人确认后，经招标人及其招标小组调整或修正后的标价的工程量清单报价书中的各单价和各项费率对投标人起约束作用；</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5）如果投标人不接受经招标人及其招标小组调整或修正后的有关单价或费率，则其投标文件将可能被拒绝；</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6）为避免疑问，上述规定的招标人对投标文件进行的错误和不平衡报价的修正，是招标人的权利而不是招标人的义务。招标人完全有权不进行该修正，有权决定进行该修正的程度。无论招标人作何种选择，招标人均无需就此向投标人承担任何的责任。</w:t>
      </w:r>
    </w:p>
    <w:p>
      <w:pPr>
        <w:widowControl/>
        <w:spacing w:line="440" w:lineRule="exact"/>
        <w:ind w:left="239" w:leftChars="114" w:firstLine="500" w:firstLineChars="250"/>
        <w:jc w:val="left"/>
        <w:rPr>
          <w:rFonts w:ascii="微软雅黑" w:hAnsi="微软雅黑" w:eastAsia="微软雅黑"/>
          <w:sz w:val="20"/>
          <w:szCs w:val="20"/>
        </w:rPr>
      </w:pPr>
      <w:r>
        <w:rPr>
          <w:rFonts w:hint="eastAsia" w:ascii="微软雅黑" w:hAnsi="微软雅黑" w:eastAsia="微软雅黑"/>
          <w:sz w:val="20"/>
          <w:szCs w:val="20"/>
        </w:rPr>
        <w:t xml:space="preserve">3、根据本办法的规定，计算评审合格的各投标的评标价格，并以此为基础计算各投标的商务部分的得分。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第五步、评标报告与推荐中标候选人</w:t>
      </w:r>
    </w:p>
    <w:p>
      <w:pPr>
        <w:pStyle w:val="40"/>
        <w:spacing w:before="0" w:beforeAutospacing="0" w:after="0" w:afterAutospacing="0" w:line="440" w:lineRule="exact"/>
        <w:ind w:firstLine="400"/>
        <w:rPr>
          <w:rFonts w:ascii="微软雅黑" w:hAnsi="微软雅黑" w:eastAsia="微软雅黑"/>
          <w:sz w:val="20"/>
        </w:rPr>
      </w:pPr>
      <w:r>
        <w:rPr>
          <w:rFonts w:hint="eastAsia" w:ascii="微软雅黑" w:hAnsi="微软雅黑" w:eastAsia="微软雅黑"/>
          <w:sz w:val="20"/>
        </w:rPr>
        <w:t xml:space="preserve">招标小组在评标报告中推荐中标候选人时，应遵照以下原则： </w:t>
      </w:r>
    </w:p>
    <w:p>
      <w:pPr>
        <w:pStyle w:val="40"/>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招标小组按得分由高至低的次序，推荐综合得分最高为中标候选人。</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中标人确定后，招标人将向中标人发出中标通知书。 </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27.名词解释</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 xml:space="preserve">1、评标价格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评标价格是指投标人的投标价格扣除暂估价（如果有）以后的价格。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2、有效投标</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没有被招标小组根据本办法的规定否决或者界定为废标的投标。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 xml:space="preserve">3、重大偏差和细微偏差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1）重大偏差</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(1) 没有按照招标文件要求提供投标保证担保或者所提供的投标保证担保有瑕疵；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(2）明显不符合技术规格、技术标准的要求；</w:t>
      </w:r>
    </w:p>
    <w:p>
      <w:pPr>
        <w:pStyle w:val="40"/>
        <w:spacing w:before="0" w:beforeAutospacing="0" w:after="0" w:afterAutospacing="0" w:line="440" w:lineRule="exact"/>
        <w:rPr>
          <w:rFonts w:ascii="微软雅黑" w:hAnsi="微软雅黑" w:eastAsia="微软雅黑"/>
          <w:sz w:val="20"/>
          <w:highlight w:val="red"/>
        </w:rPr>
      </w:pPr>
      <w:r>
        <w:rPr>
          <w:rFonts w:hint="eastAsia" w:ascii="微软雅黑" w:hAnsi="微软雅黑" w:eastAsia="微软雅黑" w:cs="宋体"/>
          <w:sz w:val="20"/>
        </w:rPr>
        <w:t>    </w:t>
      </w:r>
      <w:r>
        <w:rPr>
          <w:rFonts w:hint="eastAsia" w:ascii="微软雅黑" w:hAnsi="微软雅黑" w:eastAsia="微软雅黑"/>
          <w:sz w:val="20"/>
        </w:rPr>
        <w:t xml:space="preserve">   (3）投标文件附有招标人不能接受的条件。</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投标文件有上述情形之一的，为未能对招标文件做出实质性响应，按本办法规定作废标处理。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2）细微偏差</w:t>
      </w:r>
    </w:p>
    <w:p>
      <w:pPr>
        <w:pStyle w:val="40"/>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 xml:space="preserve">是指投标文件在实质上响应招标文件要求，但在个别地方存在漏项或者提供了不完整的技术信息和数据等情况，并且补正这些遗漏或者不完整不会对其他投标人造成不公平的结果。细微偏差不影响投标文件的有效性。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招标小组应当书面要求存在细微偏差的投标人在评标结束前予以补正。拒不补正的，凡存在细微偏差的评分项目，其最终评定分值应在经评定的相应评分项目的应得分值基础上</w:t>
      </w:r>
      <w:r>
        <w:rPr>
          <w:rFonts w:hint="eastAsia" w:ascii="微软雅黑" w:hAnsi="微软雅黑" w:eastAsia="微软雅黑"/>
          <w:kern w:val="2"/>
          <w:sz w:val="20"/>
          <w:szCs w:val="22"/>
        </w:rPr>
        <w:t>折减</w:t>
      </w:r>
      <w:r>
        <w:rPr>
          <w:rFonts w:hint="eastAsia" w:ascii="微软雅黑" w:hAnsi="微软雅黑" w:eastAsia="微软雅黑"/>
          <w:sz w:val="20"/>
        </w:rPr>
        <w:t xml:space="preserve">去10% 。 </w:t>
      </w:r>
    </w:p>
    <w:p>
      <w:pPr>
        <w:pStyle w:val="40"/>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4、量化打分保留两位小数 </w:t>
      </w:r>
    </w:p>
    <w:p>
      <w:pPr>
        <w:widowControl/>
        <w:spacing w:line="440" w:lineRule="exact"/>
        <w:jc w:val="left"/>
        <w:rPr>
          <w:rFonts w:ascii="微软雅黑" w:hAnsi="微软雅黑" w:eastAsia="微软雅黑"/>
          <w:sz w:val="20"/>
          <w:szCs w:val="20"/>
        </w:rPr>
      </w:pPr>
      <w:r>
        <w:rPr>
          <w:rFonts w:hint="eastAsia" w:ascii="微软雅黑" w:hAnsi="微软雅黑" w:eastAsia="微软雅黑" w:cs="宋体"/>
          <w:sz w:val="20"/>
          <w:szCs w:val="20"/>
        </w:rPr>
        <w:t>    </w:t>
      </w:r>
      <w:r>
        <w:rPr>
          <w:rFonts w:hint="eastAsia" w:ascii="微软雅黑" w:hAnsi="微软雅黑" w:eastAsia="微软雅黑"/>
          <w:sz w:val="20"/>
          <w:szCs w:val="20"/>
        </w:rPr>
        <w:t>本办法中所有量化评审项目的标准总分为 100 分。评分分值计算保留小数点后两位，第三位四舍五入。</w:t>
      </w:r>
    </w:p>
    <w:p>
      <w:pPr>
        <w:pStyle w:val="24"/>
        <w:rPr>
          <w:rFonts w:ascii="微软雅黑" w:hAnsi="微软雅黑" w:eastAsia="微软雅黑"/>
        </w:rPr>
        <w:sectPr>
          <w:footerReference r:id="rId7" w:type="default"/>
          <w:pgSz w:w="11909" w:h="16834"/>
          <w:pgMar w:top="1440" w:right="1134" w:bottom="1440" w:left="1134" w:header="0" w:footer="907" w:gutter="0"/>
          <w:pgNumType w:fmt="decimalFullWidth"/>
          <w:cols w:space="720" w:num="1"/>
          <w:docGrid w:linePitch="286" w:charSpace="0"/>
        </w:sectPr>
      </w:pPr>
      <w:bookmarkStart w:id="13" w:name="_Toc298237716"/>
    </w:p>
    <w:p>
      <w:pPr>
        <w:pStyle w:val="24"/>
        <w:rPr>
          <w:rFonts w:ascii="微软雅黑" w:hAnsi="微软雅黑" w:eastAsia="微软雅黑"/>
        </w:rPr>
      </w:pPr>
      <w:bookmarkStart w:id="14" w:name="_Toc15767"/>
      <w:r>
        <w:rPr>
          <w:rFonts w:hint="eastAsia" w:ascii="微软雅黑" w:hAnsi="微软雅黑" w:eastAsia="微软雅黑"/>
        </w:rPr>
        <w:t>七、合同授予</w:t>
      </w:r>
      <w:bookmarkEnd w:id="13"/>
      <w:bookmarkEnd w:id="14"/>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28.中标通知书</w:t>
      </w:r>
    </w:p>
    <w:p>
      <w:pPr>
        <w:tabs>
          <w:tab w:val="left" w:pos="1260"/>
        </w:tabs>
        <w:spacing w:line="440" w:lineRule="exact"/>
        <w:ind w:left="600" w:hanging="600" w:hangingChars="300"/>
        <w:jc w:val="left"/>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 xml:space="preserve">.1 </w:t>
      </w:r>
      <w:r>
        <w:rPr>
          <w:rFonts w:hint="eastAsia" w:ascii="微软雅黑" w:hAnsi="微软雅黑" w:eastAsia="微软雅黑"/>
          <w:sz w:val="20"/>
          <w:szCs w:val="20"/>
        </w:rPr>
        <w:t xml:space="preserve"> 评标结束后，招标人将在投标文件有效期满前向中标人发出中标通知书，确认其投标已被接受。</w:t>
      </w:r>
    </w:p>
    <w:p>
      <w:pPr>
        <w:tabs>
          <w:tab w:val="left" w:pos="1260"/>
        </w:tabs>
        <w:spacing w:line="440" w:lineRule="exact"/>
        <w:ind w:left="600" w:hanging="600" w:hangingChars="300"/>
        <w:jc w:val="left"/>
        <w:rPr>
          <w:rFonts w:ascii="微软雅黑" w:hAnsi="微软雅黑" w:eastAsia="微软雅黑"/>
          <w:sz w:val="20"/>
          <w:szCs w:val="20"/>
        </w:rPr>
      </w:pPr>
      <w:r>
        <w:rPr>
          <w:rFonts w:hint="eastAsia" w:ascii="微软雅黑" w:hAnsi="微软雅黑" w:eastAsia="微软雅黑"/>
          <w:sz w:val="20"/>
          <w:szCs w:val="20"/>
        </w:rPr>
        <w:t>28.2  中标人在收到中标通知书后，应立即书面告知招标人，并于</w:t>
      </w:r>
      <w:r>
        <w:rPr>
          <w:rFonts w:ascii="微软雅黑" w:hAnsi="微软雅黑" w:eastAsia="微软雅黑"/>
          <w:sz w:val="20"/>
          <w:szCs w:val="20"/>
        </w:rPr>
        <w:t>3</w:t>
      </w:r>
      <w:r>
        <w:rPr>
          <w:rFonts w:hint="eastAsia" w:ascii="微软雅黑" w:hAnsi="微软雅黑" w:eastAsia="微软雅黑"/>
          <w:sz w:val="20"/>
          <w:szCs w:val="20"/>
        </w:rPr>
        <w:t>日内与招标人联系进行合同商洽。</w:t>
      </w:r>
    </w:p>
    <w:p>
      <w:pPr>
        <w:tabs>
          <w:tab w:val="left" w:pos="1260"/>
        </w:tabs>
        <w:spacing w:line="440" w:lineRule="exact"/>
        <w:ind w:left="600" w:hanging="600" w:hangingChars="300"/>
        <w:jc w:val="left"/>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w:t>
      </w:r>
      <w:r>
        <w:rPr>
          <w:rFonts w:hint="eastAsia" w:ascii="微软雅黑" w:hAnsi="微软雅黑" w:eastAsia="微软雅黑"/>
          <w:sz w:val="20"/>
          <w:szCs w:val="20"/>
        </w:rPr>
        <w:t>3</w:t>
      </w:r>
      <w:r>
        <w:rPr>
          <w:rFonts w:hint="eastAsia" w:ascii="微软雅黑" w:hAnsi="微软雅黑" w:eastAsia="微软雅黑"/>
          <w:sz w:val="20"/>
          <w:szCs w:val="20"/>
        </w:rPr>
        <w:tab/>
      </w:r>
      <w:r>
        <w:rPr>
          <w:rFonts w:hint="eastAsia" w:ascii="微软雅黑" w:hAnsi="微软雅黑" w:eastAsia="微软雅黑"/>
          <w:sz w:val="20"/>
          <w:szCs w:val="20"/>
        </w:rPr>
        <w:t>中标通知书将构成合作协议的一部分。</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 xml:space="preserve">29.合同签署 </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.1   </w:t>
      </w:r>
      <w:r>
        <w:rPr>
          <w:rFonts w:hint="eastAsia" w:ascii="微软雅黑" w:hAnsi="微软雅黑" w:eastAsia="微软雅黑"/>
          <w:sz w:val="20"/>
          <w:szCs w:val="20"/>
        </w:rPr>
        <w:t>中标投标人在收到中标通知书后，应在中标通知书规定的时间内与招标人指定单位签订合同，合同经双方法定代表人或其授权的代理人签署并加盖公章后生效。逾期不签订合同的，招标人有权认为该中标单位已自动放弃中标并废除已发出的中标通知书，之后招标人有权从其他中标候选人中选择最终中标单位。</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.2   </w:t>
      </w:r>
      <w:r>
        <w:rPr>
          <w:rFonts w:hint="eastAsia" w:ascii="微软雅黑" w:hAnsi="微软雅黑" w:eastAsia="微软雅黑"/>
          <w:sz w:val="20"/>
          <w:szCs w:val="20"/>
        </w:rPr>
        <w:t>合同的签署：中标单位按中标通知书中规定的日期、时间和地点，由法定代表人或委托代理人前往与招标人代表签订合同。</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w:t>
      </w:r>
      <w:r>
        <w:rPr>
          <w:rFonts w:hint="eastAsia" w:ascii="微软雅黑" w:hAnsi="微软雅黑" w:eastAsia="微软雅黑"/>
          <w:sz w:val="20"/>
          <w:szCs w:val="20"/>
        </w:rPr>
        <w:t>3招标人发出中标通知后，中标单位如提出超出本招标文件规定条款及投标说明以外的要求，或在规定的时间内拒绝签订合同时，招标人有权取消其中标资格。由此给招标人带来的损失</w:t>
      </w:r>
      <w:r>
        <w:rPr>
          <w:rFonts w:ascii="微软雅黑" w:hAnsi="微软雅黑" w:eastAsia="微软雅黑"/>
          <w:sz w:val="20"/>
          <w:szCs w:val="20"/>
        </w:rPr>
        <w:t>,</w:t>
      </w:r>
      <w:r>
        <w:rPr>
          <w:rFonts w:hint="eastAsia" w:ascii="微软雅黑" w:hAnsi="微软雅黑" w:eastAsia="微软雅黑"/>
          <w:sz w:val="20"/>
          <w:szCs w:val="20"/>
        </w:rPr>
        <w:t>中标人应当予以赔偿。</w:t>
      </w:r>
    </w:p>
    <w:p>
      <w:pPr>
        <w:widowControl/>
        <w:spacing w:line="440" w:lineRule="exact"/>
        <w:ind w:left="600" w:hanging="600" w:hangingChars="300"/>
        <w:jc w:val="left"/>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 xml:space="preserve">0.保密条款 </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30.1   招标过程中，投标人对招标文件的所有内容有保密义务，不得将招标文件之内容向他人泄露，否则，招标人有权取消其投标资格或视其投标书为无效标书。</w:t>
      </w:r>
    </w:p>
    <w:p>
      <w:pPr>
        <w:numPr>
          <w:ilvl w:val="0"/>
          <w:numId w:val="11"/>
        </w:numPr>
        <w:tabs>
          <w:tab w:val="left" w:pos="0"/>
        </w:tabs>
        <w:spacing w:line="440" w:lineRule="exact"/>
        <w:jc w:val="left"/>
        <w:rPr>
          <w:rFonts w:ascii="微软雅黑" w:hAnsi="微软雅黑" w:eastAsia="微软雅黑"/>
          <w:sz w:val="20"/>
          <w:szCs w:val="20"/>
        </w:rPr>
      </w:pPr>
      <w:r>
        <w:rPr>
          <w:rFonts w:hint="eastAsia" w:ascii="微软雅黑" w:hAnsi="微软雅黑" w:eastAsia="微软雅黑"/>
          <w:sz w:val="20"/>
          <w:szCs w:val="20"/>
        </w:rPr>
        <w:t>30.2   定标后，投标人无论中标与否，都不得泄露本次招投标及评标的相关文件。</w:t>
      </w:r>
    </w:p>
    <w:p>
      <w:pPr>
        <w:widowControl/>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30.3   若因投标人没有遵循保密要求而引起招标人损失的，招标人有权向投标人要求索赔。</w:t>
      </w:r>
    </w:p>
    <w:p>
      <w:pPr>
        <w:spacing w:line="440" w:lineRule="exact"/>
        <w:jc w:val="left"/>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1.其它</w:t>
      </w:r>
    </w:p>
    <w:p>
      <w:pPr>
        <w:spacing w:line="440" w:lineRule="exact"/>
        <w:jc w:val="left"/>
        <w:rPr>
          <w:rFonts w:ascii="微软雅黑" w:hAnsi="微软雅黑" w:eastAsia="微软雅黑"/>
          <w:b/>
          <w:sz w:val="20"/>
          <w:szCs w:val="20"/>
        </w:rPr>
      </w:pPr>
      <w:r>
        <w:rPr>
          <w:rFonts w:hint="eastAsia" w:ascii="微软雅黑" w:hAnsi="微软雅黑" w:eastAsia="微软雅黑"/>
          <w:sz w:val="20"/>
          <w:szCs w:val="20"/>
        </w:rPr>
        <w:t>31.1  投标人须严格按本招标文件要求编制投标文件。</w:t>
      </w:r>
    </w:p>
    <w:p>
      <w:pPr>
        <w:spacing w:line="440" w:lineRule="exact"/>
        <w:jc w:val="left"/>
        <w:rPr>
          <w:rFonts w:ascii="微软雅黑" w:hAnsi="微软雅黑" w:eastAsia="微软雅黑"/>
          <w:sz w:val="20"/>
          <w:szCs w:val="20"/>
        </w:rPr>
      </w:pPr>
      <w:r>
        <w:rPr>
          <w:rFonts w:hint="eastAsia" w:ascii="微软雅黑" w:hAnsi="微软雅黑" w:eastAsia="微软雅黑"/>
          <w:sz w:val="20"/>
          <w:szCs w:val="20"/>
        </w:rPr>
        <w:t>31.2  本招标文件所有的附件与本招标文件具有同等效力。</w:t>
      </w:r>
    </w:p>
    <w:p>
      <w:pPr>
        <w:spacing w:line="440" w:lineRule="exact"/>
        <w:jc w:val="left"/>
        <w:rPr>
          <w:rFonts w:ascii="微软雅黑" w:hAnsi="微软雅黑" w:eastAsia="微软雅黑"/>
          <w:sz w:val="20"/>
          <w:szCs w:val="20"/>
        </w:rPr>
      </w:pPr>
    </w:p>
    <w:p>
      <w:pPr>
        <w:widowControl/>
        <w:spacing w:line="440" w:lineRule="exact"/>
        <w:ind w:left="735" w:hanging="735" w:hangingChars="350"/>
        <w:jc w:val="left"/>
        <w:rPr>
          <w:rFonts w:ascii="Times New Roman" w:hAnsi="Times New Roman"/>
          <w:kern w:val="0"/>
          <w:szCs w:val="20"/>
        </w:rPr>
        <w:sectPr>
          <w:pgSz w:w="11909" w:h="16834"/>
          <w:pgMar w:top="1440" w:right="1134" w:bottom="1440" w:left="1134" w:header="0" w:footer="907" w:gutter="0"/>
          <w:pgNumType w:fmt="decimalFullWidth"/>
          <w:cols w:space="720" w:num="1"/>
          <w:docGrid w:linePitch="286" w:charSpace="0"/>
        </w:sectPr>
      </w:pPr>
    </w:p>
    <w:p>
      <w:pPr>
        <w:rPr>
          <w:rFonts w:ascii="微软雅黑" w:hAnsi="微软雅黑" w:eastAsia="微软雅黑"/>
          <w:b/>
          <w:sz w:val="22"/>
        </w:rPr>
      </w:pPr>
      <w:r>
        <w:rPr>
          <w:rFonts w:hint="eastAsia" w:ascii="微软雅黑" w:hAnsi="微软雅黑" w:eastAsia="微软雅黑"/>
          <w:b/>
          <w:sz w:val="22"/>
        </w:rPr>
        <w:t>附件：</w:t>
      </w:r>
    </w:p>
    <w:p>
      <w:pPr>
        <w:pStyle w:val="40"/>
        <w:numPr>
          <w:ilvl w:val="1"/>
          <w:numId w:val="5"/>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符合性和完整性评审意见记录表</w:t>
      </w:r>
    </w:p>
    <w:p>
      <w:pPr>
        <w:pStyle w:val="40"/>
        <w:numPr>
          <w:ilvl w:val="1"/>
          <w:numId w:val="5"/>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技术标评分表</w:t>
      </w:r>
    </w:p>
    <w:p>
      <w:pPr>
        <w:pStyle w:val="40"/>
        <w:numPr>
          <w:ilvl w:val="1"/>
          <w:numId w:val="5"/>
        </w:numPr>
        <w:spacing w:before="0" w:beforeAutospacing="0" w:after="0" w:afterAutospacing="0" w:line="440" w:lineRule="exact"/>
        <w:rPr>
          <w:rFonts w:ascii="微软雅黑" w:hAnsi="微软雅黑" w:eastAsia="微软雅黑"/>
          <w:szCs w:val="21"/>
        </w:rPr>
      </w:pPr>
      <w:r>
        <w:rPr>
          <w:rFonts w:hint="eastAsia" w:ascii="微软雅黑" w:hAnsi="微软雅黑" w:eastAsia="微软雅黑"/>
          <w:sz w:val="21"/>
          <w:szCs w:val="21"/>
        </w:rPr>
        <w:t>商务标评分标准表</w:t>
      </w:r>
    </w:p>
    <w:p>
      <w:pPr>
        <w:pStyle w:val="40"/>
        <w:numPr>
          <w:ilvl w:val="1"/>
          <w:numId w:val="5"/>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综合评分表</w:t>
      </w:r>
    </w:p>
    <w:p>
      <w:pPr>
        <w:pStyle w:val="40"/>
        <w:numPr>
          <w:ilvl w:val="1"/>
          <w:numId w:val="5"/>
        </w:numPr>
        <w:spacing w:before="0" w:beforeAutospacing="0" w:after="0" w:afterAutospacing="0" w:line="440" w:lineRule="exact"/>
        <w:rPr>
          <w:rFonts w:ascii="微软雅黑" w:hAnsi="微软雅黑" w:eastAsia="微软雅黑"/>
          <w:szCs w:val="21"/>
        </w:rPr>
        <w:sectPr>
          <w:pgSz w:w="11909" w:h="16834"/>
          <w:pgMar w:top="1440" w:right="1134" w:bottom="1440" w:left="1134" w:header="0" w:footer="907" w:gutter="0"/>
          <w:pgNumType w:fmt="decimalFullWidth"/>
          <w:cols w:space="720" w:num="1"/>
          <w:docGrid w:linePitch="286" w:charSpace="0"/>
        </w:sectPr>
      </w:pPr>
    </w:p>
    <w:p>
      <w:pPr>
        <w:spacing w:line="440" w:lineRule="exact"/>
        <w:jc w:val="center"/>
        <w:rPr>
          <w:rFonts w:ascii="微软雅黑" w:hAnsi="微软雅黑" w:eastAsia="微软雅黑"/>
          <w:b/>
          <w:kern w:val="0"/>
          <w:szCs w:val="21"/>
        </w:rPr>
      </w:pPr>
      <w:r>
        <w:rPr>
          <w:rFonts w:hint="eastAsia" w:ascii="微软雅黑" w:hAnsi="微软雅黑" w:eastAsia="微软雅黑"/>
          <w:b/>
          <w:kern w:val="0"/>
          <w:szCs w:val="21"/>
        </w:rPr>
        <w:t xml:space="preserve">一、符合性和完整性评审意见记录表 </w:t>
      </w:r>
    </w:p>
    <w:p>
      <w:pPr>
        <w:spacing w:line="440" w:lineRule="exact"/>
        <w:ind w:left="420"/>
        <w:rPr>
          <w:rFonts w:ascii="微软雅黑" w:hAnsi="微软雅黑" w:eastAsia="微软雅黑"/>
          <w:szCs w:val="21"/>
          <w:u w:val="single"/>
        </w:rPr>
      </w:pPr>
    </w:p>
    <w:tbl>
      <w:tblPr>
        <w:tblStyle w:val="32"/>
        <w:tblpPr w:leftFromText="180" w:rightFromText="180" w:vertAnchor="text" w:horzAnchor="margin" w:tblpXSpec="center" w:tblpY="193"/>
        <w:tblW w:w="1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2126"/>
        <w:gridCol w:w="1559"/>
        <w:gridCol w:w="2268"/>
        <w:gridCol w:w="2410"/>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l2br w:val="single" w:color="auto" w:sz="4" w:space="0"/>
            </w:tcBorders>
            <w:shd w:val="pct10" w:color="auto" w:fill="auto"/>
          </w:tcPr>
          <w:p>
            <w:pPr>
              <w:ind w:firstLine="1681" w:firstLineChars="800"/>
              <w:rPr>
                <w:rFonts w:ascii="微软雅黑" w:hAnsi="微软雅黑" w:eastAsia="微软雅黑"/>
                <w:b/>
              </w:rPr>
            </w:pPr>
            <w:r>
              <w:rPr>
                <w:rFonts w:hint="eastAsia" w:ascii="微软雅黑" w:hAnsi="微软雅黑" w:eastAsia="微软雅黑" w:cs="宋体"/>
                <w:b/>
              </w:rPr>
              <w:t>内容</w:t>
            </w:r>
          </w:p>
          <w:p>
            <w:pPr>
              <w:rPr>
                <w:rFonts w:ascii="微软雅黑" w:hAnsi="微软雅黑" w:eastAsia="微软雅黑"/>
                <w:b/>
              </w:rPr>
            </w:pPr>
            <w:r>
              <w:rPr>
                <w:rFonts w:hint="eastAsia" w:ascii="微软雅黑" w:hAnsi="微软雅黑" w:eastAsia="微软雅黑" w:cs="宋体"/>
                <w:b/>
              </w:rPr>
              <w:t>投标人</w:t>
            </w:r>
          </w:p>
        </w:tc>
        <w:tc>
          <w:tcPr>
            <w:tcW w:w="2126"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是否按时递交投标文件</w:t>
            </w:r>
          </w:p>
        </w:tc>
        <w:tc>
          <w:tcPr>
            <w:tcW w:w="1559"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是否密封</w:t>
            </w:r>
          </w:p>
          <w:p>
            <w:pPr>
              <w:rPr>
                <w:rFonts w:ascii="微软雅黑" w:hAnsi="微软雅黑" w:eastAsia="微软雅黑"/>
                <w:b/>
              </w:rPr>
            </w:pPr>
            <w:r>
              <w:rPr>
                <w:rFonts w:hint="eastAsia" w:ascii="微软雅黑" w:hAnsi="微软雅黑" w:eastAsia="微软雅黑" w:cs="宋体"/>
                <w:b/>
              </w:rPr>
              <w:t>是否盖章</w:t>
            </w:r>
          </w:p>
        </w:tc>
        <w:tc>
          <w:tcPr>
            <w:tcW w:w="2268"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是否响应技术标准要求</w:t>
            </w:r>
          </w:p>
        </w:tc>
        <w:tc>
          <w:tcPr>
            <w:tcW w:w="2410"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是否提交授权委托书与身份证明，核对是否一致</w:t>
            </w:r>
          </w:p>
        </w:tc>
        <w:tc>
          <w:tcPr>
            <w:tcW w:w="1603"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b/>
              </w:rPr>
            </w:pPr>
            <w:r>
              <w:rPr>
                <w:rFonts w:hint="eastAsia" w:ascii="微软雅黑" w:hAnsi="微软雅黑" w:eastAsia="微软雅黑" w:cs="宋体"/>
                <w:b/>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bl>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是请打“√”；否请打“X“</w:t>
      </w:r>
    </w:p>
    <w:p>
      <w:pPr>
        <w:spacing w:line="440" w:lineRule="exact"/>
        <w:rPr>
          <w:rFonts w:ascii="微软雅黑" w:hAnsi="微软雅黑" w:eastAsia="微软雅黑"/>
          <w:szCs w:val="21"/>
        </w:rPr>
      </w:pPr>
    </w:p>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评委签字：</w:t>
      </w:r>
    </w:p>
    <w:p>
      <w:pPr>
        <w:spacing w:line="440" w:lineRule="exact"/>
        <w:rPr>
          <w:rFonts w:ascii="微软雅黑" w:hAnsi="微软雅黑" w:eastAsia="微软雅黑"/>
          <w:szCs w:val="21"/>
        </w:rPr>
      </w:pPr>
    </w:p>
    <w:p>
      <w:pPr>
        <w:spacing w:line="440" w:lineRule="exact"/>
        <w:rPr>
          <w:rFonts w:ascii="微软雅黑" w:hAnsi="微软雅黑" w:eastAsia="微软雅黑"/>
          <w:szCs w:val="21"/>
        </w:rPr>
      </w:pPr>
    </w:p>
    <w:p>
      <w:pPr>
        <w:spacing w:line="440" w:lineRule="exact"/>
        <w:jc w:val="center"/>
        <w:rPr>
          <w:rFonts w:ascii="微软雅黑" w:hAnsi="微软雅黑" w:eastAsia="微软雅黑"/>
          <w:b/>
          <w:kern w:val="0"/>
          <w:szCs w:val="21"/>
        </w:rPr>
      </w:pPr>
    </w:p>
    <w:p>
      <w:pPr>
        <w:spacing w:line="440" w:lineRule="exact"/>
        <w:jc w:val="center"/>
        <w:rPr>
          <w:rFonts w:ascii="微软雅黑" w:hAnsi="微软雅黑" w:eastAsia="微软雅黑"/>
          <w:b/>
          <w:kern w:val="0"/>
          <w:szCs w:val="21"/>
        </w:rPr>
      </w:pPr>
    </w:p>
    <w:p>
      <w:pPr>
        <w:spacing w:line="440" w:lineRule="exact"/>
        <w:rPr>
          <w:rFonts w:ascii="微软雅黑" w:hAnsi="微软雅黑" w:eastAsia="微软雅黑"/>
          <w:b/>
          <w:kern w:val="0"/>
          <w:szCs w:val="21"/>
        </w:rPr>
      </w:pPr>
    </w:p>
    <w:p>
      <w:pPr>
        <w:spacing w:line="440" w:lineRule="exact"/>
        <w:jc w:val="center"/>
        <w:rPr>
          <w:rFonts w:ascii="微软雅黑" w:hAnsi="微软雅黑" w:eastAsia="微软雅黑"/>
          <w:b/>
          <w:kern w:val="0"/>
          <w:szCs w:val="21"/>
        </w:rPr>
      </w:pPr>
      <w:r>
        <w:rPr>
          <w:rFonts w:hint="eastAsia" w:ascii="微软雅黑" w:hAnsi="微软雅黑" w:eastAsia="微软雅黑"/>
          <w:b/>
          <w:kern w:val="0"/>
          <w:szCs w:val="21"/>
        </w:rPr>
        <w:t>二、技术标评分表</w:t>
      </w:r>
    </w:p>
    <w:p>
      <w:pPr>
        <w:spacing w:line="440" w:lineRule="exact"/>
        <w:jc w:val="center"/>
        <w:rPr>
          <w:rFonts w:ascii="微软雅黑" w:hAnsi="微软雅黑" w:eastAsia="微软雅黑"/>
          <w:b/>
          <w:kern w:val="0"/>
          <w:szCs w:val="21"/>
        </w:rPr>
      </w:pPr>
    </w:p>
    <w:p>
      <w:pPr>
        <w:widowControl/>
        <w:rPr>
          <w:rFonts w:ascii="微软雅黑" w:hAnsi="微软雅黑" w:eastAsia="微软雅黑"/>
          <w:b/>
          <w:sz w:val="20"/>
          <w:szCs w:val="20"/>
        </w:rPr>
      </w:pPr>
      <w:r>
        <w:rPr>
          <w:rFonts w:hint="eastAsia" w:ascii="宋体" w:hAnsi="宋体"/>
          <w:b/>
          <w:kern w:val="0"/>
          <w:sz w:val="28"/>
          <w:szCs w:val="21"/>
          <w:u w:val="single"/>
        </w:rPr>
        <w:t>请投标人在投标文件中标明下列评分项对应应答的页码。</w:t>
      </w:r>
    </w:p>
    <w:tbl>
      <w:tblPr>
        <w:tblStyle w:val="32"/>
        <w:tblW w:w="14773" w:type="dxa"/>
        <w:jc w:val="center"/>
        <w:tblInd w:w="0" w:type="dxa"/>
        <w:tblLayout w:type="fixed"/>
        <w:tblCellMar>
          <w:top w:w="0" w:type="dxa"/>
          <w:left w:w="108" w:type="dxa"/>
          <w:bottom w:w="0" w:type="dxa"/>
          <w:right w:w="108" w:type="dxa"/>
        </w:tblCellMar>
      </w:tblPr>
      <w:tblGrid>
        <w:gridCol w:w="704"/>
        <w:gridCol w:w="1843"/>
        <w:gridCol w:w="10064"/>
        <w:gridCol w:w="1134"/>
        <w:gridCol w:w="1028"/>
      </w:tblGrid>
      <w:tr>
        <w:tblPrEx>
          <w:tblLayout w:type="fixed"/>
          <w:tblCellMar>
            <w:top w:w="0" w:type="dxa"/>
            <w:left w:w="108" w:type="dxa"/>
            <w:bottom w:w="0" w:type="dxa"/>
            <w:right w:w="108" w:type="dxa"/>
          </w:tblCellMar>
        </w:tblPrEx>
        <w:trPr>
          <w:cantSplit/>
          <w:trHeight w:val="373" w:hRule="atLeast"/>
          <w:jc w:val="center"/>
        </w:trPr>
        <w:tc>
          <w:tcPr>
            <w:tcW w:w="704"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ascii="微软雅黑" w:hAnsi="微软雅黑" w:eastAsia="微软雅黑" w:cs="宋体"/>
                <w:b/>
              </w:rPr>
              <w:t>序号</w:t>
            </w:r>
          </w:p>
        </w:tc>
        <w:tc>
          <w:tcPr>
            <w:tcW w:w="1843"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hint="eastAsia" w:ascii="微软雅黑" w:hAnsi="微软雅黑" w:eastAsia="微软雅黑" w:cs="宋体"/>
                <w:b/>
              </w:rPr>
              <w:t>评分</w:t>
            </w:r>
            <w:r>
              <w:rPr>
                <w:rFonts w:ascii="微软雅黑" w:hAnsi="微软雅黑" w:eastAsia="微软雅黑" w:cs="宋体"/>
                <w:b/>
              </w:rPr>
              <w:t>内容</w:t>
            </w:r>
          </w:p>
        </w:tc>
        <w:tc>
          <w:tcPr>
            <w:tcW w:w="10064"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ascii="微软雅黑" w:hAnsi="微软雅黑" w:eastAsia="微软雅黑" w:cs="宋体"/>
                <w:b/>
              </w:rPr>
              <w:t>评分标准</w:t>
            </w:r>
          </w:p>
        </w:tc>
        <w:tc>
          <w:tcPr>
            <w:tcW w:w="1134"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ascii="微软雅黑" w:hAnsi="微软雅黑" w:eastAsia="微软雅黑" w:cs="宋体"/>
                <w:b/>
              </w:rPr>
              <w:t>分值</w:t>
            </w:r>
            <w:r>
              <w:rPr>
                <w:rFonts w:hint="eastAsia" w:ascii="微软雅黑" w:hAnsi="微软雅黑" w:eastAsia="微软雅黑" w:cs="宋体"/>
                <w:b/>
              </w:rPr>
              <w:t>标准</w:t>
            </w:r>
          </w:p>
        </w:tc>
        <w:tc>
          <w:tcPr>
            <w:tcW w:w="1028" w:type="dxa"/>
            <w:tcBorders>
              <w:top w:val="single" w:color="auto" w:sz="4" w:space="0"/>
              <w:left w:val="nil"/>
              <w:bottom w:val="single" w:color="auto" w:sz="4" w:space="0"/>
              <w:right w:val="single" w:color="000000" w:sz="4" w:space="0"/>
            </w:tcBorders>
            <w:shd w:val="pct10" w:color="auto" w:fill="auto"/>
            <w:vAlign w:val="center"/>
          </w:tcPr>
          <w:p>
            <w:pPr>
              <w:spacing w:before="60" w:beforeLines="25" w:after="60" w:afterLines="25"/>
              <w:jc w:val="center"/>
              <w:rPr>
                <w:rFonts w:ascii="微软雅黑" w:hAnsi="微软雅黑" w:eastAsia="微软雅黑" w:cs="宋体"/>
                <w:b/>
              </w:rPr>
            </w:pPr>
            <w:r>
              <w:rPr>
                <w:rFonts w:hint="eastAsia" w:ascii="微软雅黑" w:hAnsi="微软雅黑" w:eastAsia="微软雅黑" w:cs="宋体"/>
                <w:b/>
              </w:rPr>
              <w:t>得分</w:t>
            </w:r>
          </w:p>
        </w:tc>
      </w:tr>
      <w:tr>
        <w:tblPrEx>
          <w:tblLayout w:type="fixed"/>
          <w:tblCellMar>
            <w:top w:w="0" w:type="dxa"/>
            <w:left w:w="108" w:type="dxa"/>
            <w:bottom w:w="0" w:type="dxa"/>
            <w:right w:w="108" w:type="dxa"/>
          </w:tblCellMar>
        </w:tblPrEx>
        <w:trPr>
          <w:cantSplit/>
          <w:trHeight w:val="536" w:hRule="atLeast"/>
          <w:jc w:val="center"/>
        </w:trPr>
        <w:tc>
          <w:tcPr>
            <w:tcW w:w="704" w:type="dxa"/>
            <w:tcBorders>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hint="eastAsia" w:ascii="微软雅黑" w:hAnsi="微软雅黑" w:eastAsia="微软雅黑" w:cs="宋体"/>
              </w:rPr>
              <w:t>1</w:t>
            </w:r>
          </w:p>
        </w:tc>
        <w:tc>
          <w:tcPr>
            <w:tcW w:w="1843" w:type="dxa"/>
            <w:tcBorders>
              <w:left w:val="single" w:color="auto" w:sz="4" w:space="0"/>
              <w:bottom w:val="single" w:color="auto" w:sz="4" w:space="0"/>
              <w:right w:val="single" w:color="auto" w:sz="4" w:space="0"/>
            </w:tcBorders>
            <w:vAlign w:val="center"/>
          </w:tcPr>
          <w:p>
            <w:pPr>
              <w:snapToGrid w:val="0"/>
              <w:jc w:val="left"/>
              <w:rPr>
                <w:rFonts w:ascii="微软雅黑" w:hAnsi="微软雅黑" w:eastAsia="微软雅黑"/>
                <w:b/>
                <w:kern w:val="0"/>
                <w:szCs w:val="21"/>
              </w:rPr>
            </w:pPr>
            <w:r>
              <w:rPr>
                <w:rFonts w:hint="eastAsia" w:ascii="微软雅黑" w:hAnsi="微软雅黑" w:eastAsia="微软雅黑"/>
              </w:rPr>
              <w:t>投标</w:t>
            </w:r>
            <w:r>
              <w:rPr>
                <w:rFonts w:hint="eastAsia" w:ascii="微软雅黑" w:hAnsi="微软雅黑" w:eastAsia="微软雅黑"/>
                <w:lang w:eastAsia="zh-CN"/>
              </w:rPr>
              <w:t>人实力</w:t>
            </w:r>
          </w:p>
        </w:tc>
        <w:tc>
          <w:tcPr>
            <w:tcW w:w="100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微软雅黑" w:hAnsi="微软雅黑" w:eastAsia="微软雅黑"/>
                <w:szCs w:val="21"/>
                <w:lang w:val="en-US" w:eastAsia="zh-CN"/>
              </w:rPr>
            </w:pPr>
            <w:r>
              <w:rPr>
                <w:rFonts w:hint="default" w:ascii="微软雅黑" w:hAnsi="微软雅黑" w:eastAsia="微软雅黑"/>
                <w:szCs w:val="21"/>
                <w:lang w:val="en-US" w:eastAsia="zh-CN"/>
              </w:rPr>
              <w:t>1.公司综合实力、资质、注册资本等情况，横向比较，优</w:t>
            </w:r>
            <w:r>
              <w:rPr>
                <w:rFonts w:hint="eastAsia" w:ascii="微软雅黑" w:hAnsi="微软雅黑" w:eastAsia="微软雅黑"/>
                <w:szCs w:val="21"/>
                <w:lang w:val="en-US" w:eastAsia="zh-CN"/>
              </w:rPr>
              <w:t>8</w:t>
            </w:r>
            <w:r>
              <w:rPr>
                <w:rFonts w:hint="default" w:ascii="微软雅黑" w:hAnsi="微软雅黑" w:eastAsia="微软雅黑"/>
                <w:szCs w:val="21"/>
                <w:lang w:val="en-US" w:eastAsia="zh-CN"/>
              </w:rPr>
              <w:t>-</w:t>
            </w:r>
            <w:r>
              <w:rPr>
                <w:rFonts w:hint="eastAsia" w:ascii="微软雅黑" w:hAnsi="微软雅黑" w:eastAsia="微软雅黑"/>
                <w:szCs w:val="21"/>
                <w:lang w:val="en-US" w:eastAsia="zh-CN"/>
              </w:rPr>
              <w:t>6</w:t>
            </w:r>
            <w:r>
              <w:rPr>
                <w:rFonts w:hint="default" w:ascii="微软雅黑" w:hAnsi="微软雅黑" w:eastAsia="微软雅黑"/>
                <w:szCs w:val="21"/>
                <w:lang w:val="en-US" w:eastAsia="zh-CN"/>
              </w:rPr>
              <w:t>分，中</w:t>
            </w:r>
            <w:r>
              <w:rPr>
                <w:rFonts w:hint="eastAsia" w:ascii="微软雅黑" w:hAnsi="微软雅黑" w:eastAsia="微软雅黑"/>
                <w:szCs w:val="21"/>
                <w:lang w:val="en-US" w:eastAsia="zh-CN"/>
              </w:rPr>
              <w:t>5</w:t>
            </w:r>
            <w:r>
              <w:rPr>
                <w:rFonts w:hint="default" w:ascii="微软雅黑" w:hAnsi="微软雅黑" w:eastAsia="微软雅黑"/>
                <w:szCs w:val="21"/>
                <w:lang w:val="en-US" w:eastAsia="zh-CN"/>
              </w:rPr>
              <w:t>-</w:t>
            </w:r>
            <w:r>
              <w:rPr>
                <w:rFonts w:hint="eastAsia" w:ascii="微软雅黑" w:hAnsi="微软雅黑" w:eastAsia="微软雅黑"/>
                <w:szCs w:val="21"/>
                <w:lang w:val="en-US" w:eastAsia="zh-CN"/>
              </w:rPr>
              <w:t>3</w:t>
            </w:r>
            <w:r>
              <w:rPr>
                <w:rFonts w:hint="default" w:ascii="微软雅黑" w:hAnsi="微软雅黑" w:eastAsia="微软雅黑"/>
                <w:szCs w:val="21"/>
                <w:lang w:val="en-US" w:eastAsia="zh-CN"/>
              </w:rPr>
              <w:t>分，差</w:t>
            </w:r>
            <w:r>
              <w:rPr>
                <w:rFonts w:hint="eastAsia" w:ascii="微软雅黑" w:hAnsi="微软雅黑" w:eastAsia="微软雅黑"/>
                <w:szCs w:val="21"/>
                <w:lang w:val="en-US" w:eastAsia="zh-CN"/>
              </w:rPr>
              <w:t>2</w:t>
            </w:r>
            <w:r>
              <w:rPr>
                <w:rFonts w:hint="default" w:ascii="微软雅黑" w:hAnsi="微软雅黑" w:eastAsia="微软雅黑"/>
                <w:szCs w:val="21"/>
                <w:lang w:val="en-US" w:eastAsia="zh-CN"/>
              </w:rPr>
              <w:t>-0分。</w:t>
            </w:r>
          </w:p>
          <w:p>
            <w:pPr>
              <w:snapToGrid w:val="0"/>
              <w:jc w:val="left"/>
              <w:rPr>
                <w:rFonts w:ascii="微软雅黑" w:hAnsi="微软雅黑" w:eastAsia="微软雅黑" w:cs="宋体"/>
                <w:szCs w:val="21"/>
              </w:rPr>
            </w:pPr>
            <w:r>
              <w:rPr>
                <w:rFonts w:hint="default" w:ascii="微软雅黑" w:hAnsi="微软雅黑" w:eastAsia="微软雅黑"/>
                <w:szCs w:val="21"/>
                <w:lang w:val="en-US" w:eastAsia="zh-CN"/>
              </w:rPr>
              <w:t>2.投标方提供近3年</w:t>
            </w:r>
            <w:r>
              <w:rPr>
                <w:rFonts w:hint="eastAsia" w:ascii="微软雅黑" w:hAnsi="微软雅黑" w:eastAsia="微软雅黑"/>
                <w:szCs w:val="21"/>
                <w:lang w:val="en-US" w:eastAsia="zh-CN"/>
              </w:rPr>
              <w:t>4</w:t>
            </w:r>
            <w:r>
              <w:rPr>
                <w:rFonts w:hint="default" w:ascii="微软雅黑" w:hAnsi="微软雅黑" w:eastAsia="微软雅黑"/>
                <w:szCs w:val="21"/>
                <w:lang w:val="en-US" w:eastAsia="zh-CN"/>
              </w:rPr>
              <w:t>个（含）以上至少同等规模（含）以上银行的</w:t>
            </w:r>
            <w:r>
              <w:rPr>
                <w:rFonts w:hint="eastAsia" w:ascii="微软雅黑" w:hAnsi="微软雅黑" w:eastAsia="微软雅黑"/>
                <w:szCs w:val="21"/>
                <w:lang w:val="en-US" w:eastAsia="zh-CN"/>
              </w:rPr>
              <w:t>网络集成</w:t>
            </w:r>
            <w:r>
              <w:rPr>
                <w:rFonts w:hint="default" w:ascii="微软雅黑" w:hAnsi="微软雅黑" w:eastAsia="微软雅黑"/>
                <w:szCs w:val="21"/>
                <w:lang w:val="en-US" w:eastAsia="zh-CN"/>
              </w:rPr>
              <w:t>项目的成功案例（需提供合同原件等证明材料现场待查），都满足得6分；每增加一个近3年银行</w:t>
            </w:r>
            <w:r>
              <w:rPr>
                <w:rFonts w:hint="eastAsia" w:ascii="微软雅黑" w:hAnsi="微软雅黑" w:eastAsia="微软雅黑"/>
                <w:szCs w:val="21"/>
                <w:lang w:val="en-US" w:eastAsia="zh-CN"/>
              </w:rPr>
              <w:t>网络集成</w:t>
            </w:r>
            <w:r>
              <w:rPr>
                <w:rFonts w:hint="default" w:ascii="微软雅黑" w:hAnsi="微软雅黑" w:eastAsia="微软雅黑"/>
                <w:szCs w:val="21"/>
                <w:lang w:val="en-US" w:eastAsia="zh-CN"/>
              </w:rPr>
              <w:t>项目的成功案例</w:t>
            </w:r>
            <w:r>
              <w:rPr>
                <w:rFonts w:hint="eastAsia" w:ascii="微软雅黑" w:hAnsi="微软雅黑" w:eastAsia="微软雅黑"/>
                <w:szCs w:val="21"/>
                <w:lang w:val="en-US" w:eastAsia="zh-CN"/>
              </w:rPr>
              <w:t>1</w:t>
            </w:r>
            <w:r>
              <w:rPr>
                <w:rFonts w:hint="default" w:ascii="微软雅黑" w:hAnsi="微软雅黑" w:eastAsia="微软雅黑"/>
                <w:szCs w:val="21"/>
                <w:lang w:val="en-US" w:eastAsia="zh-CN"/>
              </w:rPr>
              <w:t>分(规模不小于200万），最高得</w:t>
            </w:r>
            <w:r>
              <w:rPr>
                <w:rFonts w:hint="eastAsia" w:ascii="微软雅黑" w:hAnsi="微软雅黑" w:eastAsia="微软雅黑"/>
                <w:szCs w:val="21"/>
                <w:lang w:val="en-US" w:eastAsia="zh-CN"/>
              </w:rPr>
              <w:t>4</w:t>
            </w:r>
            <w:r>
              <w:rPr>
                <w:rFonts w:hint="default" w:ascii="微软雅黑" w:hAnsi="微软雅黑" w:eastAsia="微软雅黑"/>
                <w:szCs w:val="21"/>
                <w:lang w:val="en-US" w:eastAsia="zh-CN"/>
              </w:rPr>
              <w:t>分</w:t>
            </w:r>
            <w:r>
              <w:rPr>
                <w:rFonts w:hint="eastAsia" w:ascii="微软雅黑" w:hAnsi="微软雅黑" w:eastAsia="微软雅黑"/>
                <w:szCs w:val="21"/>
                <w:lang w:val="en-US" w:eastAsia="zh-CN"/>
              </w:rPr>
              <w:t>。</w:t>
            </w:r>
          </w:p>
        </w:tc>
        <w:tc>
          <w:tcPr>
            <w:tcW w:w="1134" w:type="dxa"/>
            <w:tcBorders>
              <w:left w:val="single" w:color="auto" w:sz="4" w:space="0"/>
              <w:bottom w:val="single" w:color="auto" w:sz="4" w:space="0"/>
              <w:right w:val="single" w:color="auto" w:sz="4" w:space="0"/>
            </w:tcBorders>
            <w:vAlign w:val="center"/>
          </w:tcPr>
          <w:p>
            <w:pPr>
              <w:widowControl/>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18</w:t>
            </w:r>
          </w:p>
        </w:tc>
        <w:tc>
          <w:tcPr>
            <w:tcW w:w="1028" w:type="dxa"/>
            <w:tcBorders>
              <w:left w:val="single" w:color="auto" w:sz="4" w:space="0"/>
              <w:bottom w:val="single" w:color="auto" w:sz="4" w:space="0"/>
              <w:right w:val="single" w:color="auto" w:sz="4" w:space="0"/>
            </w:tcBorders>
            <w:vAlign w:val="center"/>
          </w:tcPr>
          <w:p>
            <w:pPr>
              <w:spacing w:before="60" w:beforeLines="25" w:after="60" w:afterLines="25"/>
              <w:jc w:val="center"/>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5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hint="eastAsia" w:ascii="微软雅黑" w:hAnsi="微软雅黑" w:eastAsia="微软雅黑" w:cs="宋体"/>
              </w:rPr>
              <w:t>2</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微软雅黑" w:hAnsi="微软雅黑" w:eastAsia="微软雅黑"/>
                <w:szCs w:val="21"/>
              </w:rPr>
            </w:pPr>
            <w:r>
              <w:rPr>
                <w:rFonts w:hint="eastAsia" w:ascii="微软雅黑" w:hAnsi="微软雅黑" w:eastAsia="微软雅黑"/>
                <w:szCs w:val="21"/>
              </w:rPr>
              <w:t>技术方案</w:t>
            </w:r>
          </w:p>
        </w:tc>
        <w:tc>
          <w:tcPr>
            <w:tcW w:w="100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微软雅黑" w:hAnsi="微软雅黑" w:eastAsia="微软雅黑"/>
                <w:szCs w:val="21"/>
              </w:rPr>
            </w:pPr>
            <w:r>
              <w:rPr>
                <w:rFonts w:hint="eastAsia" w:ascii="微软雅黑" w:hAnsi="微软雅黑" w:eastAsia="微软雅黑"/>
                <w:szCs w:val="21"/>
                <w:lang w:val="en-US" w:eastAsia="zh-CN"/>
              </w:rPr>
              <w:t>1</w:t>
            </w:r>
            <w:r>
              <w:rPr>
                <w:rFonts w:hint="default" w:ascii="微软雅黑" w:hAnsi="微软雅黑" w:eastAsia="微软雅黑"/>
                <w:szCs w:val="21"/>
              </w:rPr>
              <w:t>.具有详细的设备上线、业务迁移实施方案，方案的合理性、高可用性满足行方及监管安全要求，施工进度高效合理，优2</w:t>
            </w:r>
            <w:r>
              <w:rPr>
                <w:rFonts w:hint="eastAsia" w:ascii="微软雅黑" w:hAnsi="微软雅黑" w:eastAsia="微软雅黑"/>
                <w:szCs w:val="21"/>
                <w:lang w:val="en-US" w:eastAsia="zh-CN"/>
              </w:rPr>
              <w:t>0</w:t>
            </w:r>
            <w:r>
              <w:rPr>
                <w:rFonts w:hint="default" w:ascii="微软雅黑" w:hAnsi="微软雅黑" w:eastAsia="微软雅黑"/>
                <w:szCs w:val="21"/>
              </w:rPr>
              <w:t>-</w:t>
            </w:r>
            <w:r>
              <w:rPr>
                <w:rFonts w:hint="eastAsia" w:ascii="微软雅黑" w:hAnsi="微软雅黑" w:eastAsia="微软雅黑"/>
                <w:szCs w:val="21"/>
                <w:lang w:val="en-US" w:eastAsia="zh-CN"/>
              </w:rPr>
              <w:t>14</w:t>
            </w:r>
            <w:r>
              <w:rPr>
                <w:rFonts w:hint="default" w:ascii="微软雅黑" w:hAnsi="微软雅黑" w:eastAsia="微软雅黑"/>
                <w:szCs w:val="21"/>
              </w:rPr>
              <w:t>分，中1</w:t>
            </w:r>
            <w:r>
              <w:rPr>
                <w:rFonts w:hint="eastAsia" w:ascii="微软雅黑" w:hAnsi="微软雅黑" w:eastAsia="微软雅黑"/>
                <w:szCs w:val="21"/>
                <w:lang w:val="en-US" w:eastAsia="zh-CN"/>
              </w:rPr>
              <w:t>2</w:t>
            </w:r>
            <w:r>
              <w:rPr>
                <w:rFonts w:hint="default" w:ascii="微软雅黑" w:hAnsi="微软雅黑" w:eastAsia="微软雅黑"/>
                <w:szCs w:val="21"/>
              </w:rPr>
              <w:t>-</w:t>
            </w:r>
            <w:r>
              <w:rPr>
                <w:rFonts w:hint="eastAsia" w:ascii="微软雅黑" w:hAnsi="微软雅黑" w:eastAsia="微软雅黑"/>
                <w:szCs w:val="21"/>
                <w:lang w:val="en-US" w:eastAsia="zh-CN"/>
              </w:rPr>
              <w:t>8</w:t>
            </w:r>
            <w:r>
              <w:rPr>
                <w:rFonts w:hint="default" w:ascii="微软雅黑" w:hAnsi="微软雅黑" w:eastAsia="微软雅黑"/>
                <w:szCs w:val="21"/>
              </w:rPr>
              <w:t>分，差</w:t>
            </w:r>
            <w:r>
              <w:rPr>
                <w:rFonts w:hint="eastAsia" w:ascii="微软雅黑" w:hAnsi="微软雅黑" w:eastAsia="微软雅黑"/>
                <w:szCs w:val="21"/>
                <w:lang w:val="en-US" w:eastAsia="zh-CN"/>
              </w:rPr>
              <w:t>6</w:t>
            </w:r>
            <w:r>
              <w:rPr>
                <w:rFonts w:hint="default" w:ascii="微软雅黑" w:hAnsi="微软雅黑" w:eastAsia="微软雅黑"/>
                <w:szCs w:val="21"/>
              </w:rPr>
              <w:t>-0分。</w:t>
            </w:r>
          </w:p>
          <w:p>
            <w:pPr>
              <w:snapToGrid w:val="0"/>
              <w:jc w:val="left"/>
              <w:rPr>
                <w:rFonts w:hint="default" w:ascii="微软雅黑" w:hAnsi="微软雅黑" w:eastAsia="微软雅黑"/>
                <w:szCs w:val="21"/>
              </w:rPr>
            </w:pPr>
            <w:r>
              <w:rPr>
                <w:rFonts w:hint="eastAsia" w:ascii="微软雅黑" w:hAnsi="微软雅黑" w:eastAsia="微软雅黑"/>
                <w:szCs w:val="21"/>
                <w:lang w:val="en-US" w:eastAsia="zh-CN"/>
              </w:rPr>
              <w:t>2</w:t>
            </w:r>
            <w:r>
              <w:rPr>
                <w:rFonts w:hint="default" w:ascii="微软雅黑" w:hAnsi="微软雅黑" w:eastAsia="微软雅黑"/>
                <w:szCs w:val="21"/>
              </w:rPr>
              <w:t>.具有详细的机房布线、理线规划方案，优5-4分，中3分，差1-0分。</w:t>
            </w:r>
          </w:p>
          <w:p>
            <w:pPr>
              <w:snapToGrid w:val="0"/>
              <w:jc w:val="left"/>
              <w:rPr>
                <w:rFonts w:ascii="微软雅黑" w:hAnsi="微软雅黑" w:eastAsia="微软雅黑"/>
                <w:szCs w:val="21"/>
              </w:rPr>
            </w:pPr>
            <w:r>
              <w:rPr>
                <w:rFonts w:hint="eastAsia" w:ascii="微软雅黑" w:hAnsi="微软雅黑" w:eastAsia="微软雅黑"/>
                <w:szCs w:val="21"/>
                <w:lang w:val="en-US" w:eastAsia="zh-CN"/>
              </w:rPr>
              <w:t>3</w:t>
            </w:r>
            <w:r>
              <w:rPr>
                <w:rFonts w:hint="default" w:ascii="微软雅黑" w:hAnsi="微软雅黑" w:eastAsia="微软雅黑"/>
                <w:szCs w:val="21"/>
              </w:rPr>
              <w:t>提供项目清单的所有设备、模块及实施所需线缆，且满足招标方项目实施要求，如果实施过程中招标方清单缺少模块、板卡、线缆等，投标方需要按照招标方需求承担全部零配件。横向比较，优</w:t>
            </w:r>
            <w:r>
              <w:rPr>
                <w:rFonts w:hint="eastAsia" w:ascii="微软雅黑" w:hAnsi="微软雅黑" w:eastAsia="微软雅黑"/>
                <w:szCs w:val="21"/>
                <w:lang w:val="en-US" w:eastAsia="zh-CN"/>
              </w:rPr>
              <w:t>5</w:t>
            </w:r>
            <w:r>
              <w:rPr>
                <w:rFonts w:hint="default" w:ascii="微软雅黑" w:hAnsi="微软雅黑" w:eastAsia="微软雅黑"/>
                <w:szCs w:val="21"/>
              </w:rPr>
              <w:t>-</w:t>
            </w:r>
            <w:r>
              <w:rPr>
                <w:rFonts w:hint="eastAsia" w:ascii="微软雅黑" w:hAnsi="微软雅黑" w:eastAsia="微软雅黑"/>
                <w:szCs w:val="21"/>
                <w:lang w:val="en-US" w:eastAsia="zh-CN"/>
              </w:rPr>
              <w:t>4</w:t>
            </w:r>
            <w:r>
              <w:rPr>
                <w:rFonts w:hint="default" w:ascii="微软雅黑" w:hAnsi="微软雅黑" w:eastAsia="微软雅黑"/>
                <w:szCs w:val="21"/>
              </w:rPr>
              <w:t>分，中</w:t>
            </w:r>
            <w:r>
              <w:rPr>
                <w:rFonts w:hint="eastAsia" w:ascii="微软雅黑" w:hAnsi="微软雅黑" w:eastAsia="微软雅黑"/>
                <w:szCs w:val="21"/>
                <w:lang w:val="en-US" w:eastAsia="zh-CN"/>
              </w:rPr>
              <w:t>3</w:t>
            </w:r>
            <w:r>
              <w:rPr>
                <w:rFonts w:hint="default" w:ascii="微软雅黑" w:hAnsi="微软雅黑" w:eastAsia="微软雅黑"/>
                <w:szCs w:val="21"/>
              </w:rPr>
              <w:t>分，差</w:t>
            </w:r>
            <w:r>
              <w:rPr>
                <w:rFonts w:hint="eastAsia" w:ascii="微软雅黑" w:hAnsi="微软雅黑" w:eastAsia="微软雅黑"/>
                <w:szCs w:val="21"/>
                <w:lang w:val="en-US" w:eastAsia="zh-CN"/>
              </w:rPr>
              <w:t>1-</w:t>
            </w:r>
            <w:r>
              <w:rPr>
                <w:rFonts w:hint="default" w:ascii="微软雅黑" w:hAnsi="微软雅黑" w:eastAsia="微软雅黑"/>
                <w:szCs w:val="21"/>
              </w:rPr>
              <w:t>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微软雅黑" w:hAnsi="微软雅黑" w:eastAsia="微软雅黑"/>
                <w:kern w:val="0"/>
                <w:szCs w:val="21"/>
                <w:lang w:val="en-US" w:eastAsia="zh-CN"/>
              </w:rPr>
            </w:pPr>
            <w:r>
              <w:rPr>
                <w:rFonts w:ascii="微软雅黑" w:hAnsi="微软雅黑" w:eastAsia="微软雅黑"/>
                <w:kern w:val="0"/>
                <w:szCs w:val="21"/>
              </w:rPr>
              <w:t>3</w:t>
            </w:r>
            <w:r>
              <w:rPr>
                <w:rFonts w:hint="eastAsia" w:ascii="微软雅黑" w:hAnsi="微软雅黑" w:eastAsia="微软雅黑"/>
                <w:kern w:val="0"/>
                <w:szCs w:val="21"/>
                <w:lang w:val="en-US" w:eastAsia="zh-CN"/>
              </w:rPr>
              <w:t>0</w:t>
            </w:r>
          </w:p>
        </w:tc>
        <w:tc>
          <w:tcPr>
            <w:tcW w:w="1028"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8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hint="eastAsia" w:ascii="微软雅黑" w:hAnsi="微软雅黑" w:eastAsia="微软雅黑" w:cs="宋体"/>
              </w:rPr>
              <w:t>3</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微软雅黑" w:hAnsi="微软雅黑" w:eastAsia="微软雅黑"/>
                <w:szCs w:val="21"/>
              </w:rPr>
            </w:pPr>
            <w:r>
              <w:rPr>
                <w:rFonts w:hint="eastAsia" w:ascii="微软雅黑" w:hAnsi="微软雅黑" w:eastAsia="微软雅黑"/>
                <w:szCs w:val="21"/>
              </w:rPr>
              <w:t>人员要求</w:t>
            </w:r>
          </w:p>
        </w:tc>
        <w:tc>
          <w:tcPr>
            <w:tcW w:w="100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微软雅黑" w:hAnsi="微软雅黑" w:eastAsia="微软雅黑"/>
                <w:szCs w:val="21"/>
              </w:rPr>
            </w:pPr>
            <w:r>
              <w:rPr>
                <w:rFonts w:hint="eastAsia" w:ascii="微软雅黑" w:hAnsi="微软雅黑" w:eastAsia="微软雅黑"/>
                <w:szCs w:val="21"/>
              </w:rPr>
              <w:t>1.项目经理具有PMP资质或信息产业部颁发的计算机信息系统集成项目经理资质（</w:t>
            </w:r>
            <w:r>
              <w:rPr>
                <w:rFonts w:hint="eastAsia" w:ascii="微软雅黑" w:hAnsi="微软雅黑" w:eastAsia="微软雅黑"/>
                <w:szCs w:val="21"/>
                <w:lang w:val="en-US" w:eastAsia="zh-CN"/>
              </w:rPr>
              <w:t>2</w:t>
            </w:r>
            <w:r>
              <w:rPr>
                <w:rFonts w:hint="eastAsia" w:ascii="微软雅黑" w:hAnsi="微软雅黑" w:eastAsia="微软雅黑"/>
                <w:szCs w:val="21"/>
              </w:rPr>
              <w:t>分）。</w:t>
            </w:r>
          </w:p>
          <w:p>
            <w:pPr>
              <w:snapToGrid w:val="0"/>
              <w:jc w:val="left"/>
              <w:rPr>
                <w:rFonts w:ascii="微软雅黑" w:hAnsi="微软雅黑" w:eastAsia="微软雅黑"/>
                <w:szCs w:val="21"/>
              </w:rPr>
            </w:pPr>
            <w:r>
              <w:rPr>
                <w:rFonts w:hint="eastAsia" w:ascii="微软雅黑" w:hAnsi="微软雅黑" w:eastAsia="微软雅黑"/>
                <w:szCs w:val="21"/>
              </w:rPr>
              <w:t>2.在满足我行项目成员技术要求的前提下，团队整体人员素质，要求具有数据中心CCIE证书</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HCIE或同级别证书</w:t>
            </w:r>
            <w:r>
              <w:rPr>
                <w:rFonts w:hint="eastAsia" w:ascii="微软雅黑" w:hAnsi="微软雅黑" w:eastAsia="微软雅黑"/>
                <w:szCs w:val="21"/>
              </w:rPr>
              <w:t>，</w:t>
            </w:r>
            <w:r>
              <w:rPr>
                <w:rFonts w:hint="eastAsia" w:ascii="微软雅黑" w:hAnsi="微软雅黑" w:eastAsia="微软雅黑"/>
                <w:szCs w:val="21"/>
                <w:lang w:eastAsia="zh-CN"/>
              </w:rPr>
              <w:t>主要实施工程师具有</w:t>
            </w:r>
            <w:r>
              <w:rPr>
                <w:rFonts w:hint="eastAsia" w:ascii="微软雅黑" w:hAnsi="微软雅黑" w:eastAsia="微软雅黑"/>
                <w:szCs w:val="21"/>
                <w:lang w:val="en-US" w:eastAsia="zh-CN"/>
              </w:rPr>
              <w:t>5年以上银行业数据中心项目主要负责人经验，其他成员具有3年以上数据中心网络项目实施经验。</w:t>
            </w:r>
            <w:r>
              <w:rPr>
                <w:rFonts w:hint="eastAsia" w:ascii="微软雅黑" w:hAnsi="微软雅黑" w:eastAsia="微软雅黑"/>
                <w:szCs w:val="21"/>
              </w:rPr>
              <w:t>根据项目经验等进行横向比较,优</w:t>
            </w:r>
            <w:r>
              <w:rPr>
                <w:rFonts w:hint="eastAsia" w:ascii="微软雅黑" w:hAnsi="微软雅黑" w:eastAsia="微软雅黑"/>
                <w:szCs w:val="21"/>
                <w:lang w:val="en-US" w:eastAsia="zh-CN"/>
              </w:rPr>
              <w:t>10</w:t>
            </w:r>
            <w:r>
              <w:rPr>
                <w:rFonts w:hint="eastAsia" w:ascii="微软雅黑" w:hAnsi="微软雅黑" w:eastAsia="微软雅黑"/>
                <w:szCs w:val="21"/>
              </w:rPr>
              <w:t>-</w:t>
            </w:r>
            <w:r>
              <w:rPr>
                <w:rFonts w:hint="eastAsia" w:ascii="微软雅黑" w:hAnsi="微软雅黑" w:eastAsia="微软雅黑"/>
                <w:szCs w:val="21"/>
                <w:lang w:val="en-US" w:eastAsia="zh-CN"/>
              </w:rPr>
              <w:t>8</w:t>
            </w:r>
            <w:r>
              <w:rPr>
                <w:rFonts w:hint="eastAsia" w:ascii="微软雅黑" w:hAnsi="微软雅黑" w:eastAsia="微软雅黑"/>
                <w:szCs w:val="21"/>
              </w:rPr>
              <w:t>分，中</w:t>
            </w:r>
            <w:r>
              <w:rPr>
                <w:rFonts w:hint="eastAsia" w:ascii="微软雅黑" w:hAnsi="微软雅黑" w:eastAsia="微软雅黑"/>
                <w:szCs w:val="21"/>
                <w:lang w:val="en-US" w:eastAsia="zh-CN"/>
              </w:rPr>
              <w:t>6</w:t>
            </w:r>
            <w:r>
              <w:rPr>
                <w:rFonts w:hint="eastAsia" w:ascii="微软雅黑" w:hAnsi="微软雅黑" w:eastAsia="微软雅黑"/>
                <w:szCs w:val="21"/>
              </w:rPr>
              <w:t>-</w:t>
            </w:r>
            <w:r>
              <w:rPr>
                <w:rFonts w:hint="eastAsia" w:ascii="微软雅黑" w:hAnsi="微软雅黑" w:eastAsia="微软雅黑"/>
                <w:szCs w:val="21"/>
                <w:lang w:val="en-US" w:eastAsia="zh-CN"/>
              </w:rPr>
              <w:t>4</w:t>
            </w:r>
            <w:r>
              <w:rPr>
                <w:rFonts w:hint="eastAsia" w:ascii="微软雅黑" w:hAnsi="微软雅黑" w:eastAsia="微软雅黑"/>
                <w:szCs w:val="21"/>
              </w:rPr>
              <w:t>分，差</w:t>
            </w:r>
            <w:r>
              <w:rPr>
                <w:rFonts w:hint="eastAsia" w:ascii="微软雅黑" w:hAnsi="微软雅黑" w:eastAsia="微软雅黑"/>
                <w:szCs w:val="21"/>
                <w:lang w:val="en-US" w:eastAsia="zh-CN"/>
              </w:rPr>
              <w:t>2</w:t>
            </w:r>
            <w:r>
              <w:rPr>
                <w:rFonts w:hint="eastAsia" w:ascii="微软雅黑" w:hAnsi="微软雅黑" w:eastAsia="微软雅黑"/>
                <w:szCs w:val="21"/>
              </w:rPr>
              <w:t>-0分。</w:t>
            </w:r>
          </w:p>
          <w:p>
            <w:pPr>
              <w:snapToGrid w:val="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综合布线资质人员（机电一级建造师或机电二级建造师或人力与社会保障部的全国信息网络综合布线工程师），应具有3年以上综合布线经验及3个以上银行机房布线案例，横向比较，优</w:t>
            </w:r>
            <w:r>
              <w:rPr>
                <w:rFonts w:hint="eastAsia" w:ascii="微软雅黑" w:hAnsi="微软雅黑" w:eastAsia="微软雅黑"/>
                <w:szCs w:val="21"/>
                <w:lang w:val="en-US" w:eastAsia="zh-CN"/>
              </w:rPr>
              <w:t>3</w:t>
            </w:r>
            <w:r>
              <w:rPr>
                <w:rFonts w:hint="eastAsia" w:ascii="微软雅黑" w:hAnsi="微软雅黑" w:eastAsia="微软雅黑"/>
                <w:szCs w:val="21"/>
              </w:rPr>
              <w:t>分，中</w:t>
            </w:r>
            <w:r>
              <w:rPr>
                <w:rFonts w:hint="eastAsia" w:ascii="微软雅黑" w:hAnsi="微软雅黑" w:eastAsia="微软雅黑"/>
                <w:szCs w:val="21"/>
                <w:lang w:val="en-US" w:eastAsia="zh-CN"/>
              </w:rPr>
              <w:t>2</w:t>
            </w:r>
            <w:r>
              <w:rPr>
                <w:rFonts w:hint="eastAsia" w:ascii="微软雅黑" w:hAnsi="微软雅黑" w:eastAsia="微软雅黑"/>
                <w:szCs w:val="21"/>
              </w:rPr>
              <w:t>分，差</w:t>
            </w:r>
            <w:r>
              <w:rPr>
                <w:rFonts w:hint="eastAsia" w:ascii="微软雅黑" w:hAnsi="微软雅黑" w:eastAsia="微软雅黑"/>
                <w:szCs w:val="21"/>
                <w:lang w:val="en-US" w:eastAsia="zh-CN"/>
              </w:rPr>
              <w:t>1</w:t>
            </w:r>
            <w:r>
              <w:rPr>
                <w:rFonts w:hint="eastAsia" w:ascii="微软雅黑" w:hAnsi="微软雅黑" w:eastAsia="微软雅黑"/>
                <w:szCs w:val="21"/>
              </w:rPr>
              <w:t>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rPr>
              <w:t>1</w:t>
            </w:r>
            <w:r>
              <w:rPr>
                <w:rFonts w:hint="eastAsia" w:ascii="微软雅黑" w:hAnsi="微软雅黑" w:eastAsia="微软雅黑"/>
                <w:kern w:val="0"/>
                <w:szCs w:val="21"/>
                <w:lang w:val="en-US" w:eastAsia="zh-CN"/>
              </w:rPr>
              <w:t>5</w:t>
            </w:r>
          </w:p>
        </w:tc>
        <w:tc>
          <w:tcPr>
            <w:tcW w:w="1028"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微软雅黑" w:hAnsi="微软雅黑" w:eastAsia="微软雅黑" w:cs="宋体"/>
              </w:rPr>
            </w:pPr>
          </w:p>
        </w:tc>
      </w:tr>
      <w:tr>
        <w:tblPrEx>
          <w:tblLayout w:type="fixed"/>
          <w:tblCellMar>
            <w:top w:w="0" w:type="dxa"/>
            <w:left w:w="108" w:type="dxa"/>
            <w:bottom w:w="0" w:type="dxa"/>
            <w:right w:w="108" w:type="dxa"/>
          </w:tblCellMar>
        </w:tblPrEx>
        <w:trPr>
          <w:trHeight w:val="38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hint="eastAsia" w:ascii="微软雅黑" w:hAnsi="微软雅黑" w:eastAsia="微软雅黑" w:cs="宋体"/>
              </w:rPr>
              <w:t>4</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r>
              <w:rPr>
                <w:rFonts w:hint="eastAsia" w:ascii="微软雅黑" w:hAnsi="微软雅黑" w:eastAsia="微软雅黑"/>
                <w:szCs w:val="21"/>
              </w:rPr>
              <w:t>后期服务</w:t>
            </w:r>
          </w:p>
        </w:tc>
        <w:tc>
          <w:tcPr>
            <w:tcW w:w="10064" w:type="dxa"/>
            <w:tcBorders>
              <w:top w:val="single" w:color="auto" w:sz="4" w:space="0"/>
              <w:left w:val="single" w:color="auto" w:sz="4" w:space="0"/>
              <w:bottom w:val="single" w:color="auto" w:sz="4" w:space="0"/>
              <w:right w:val="single" w:color="auto" w:sz="4" w:space="0"/>
            </w:tcBorders>
            <w:vAlign w:val="center"/>
          </w:tcPr>
          <w:p>
            <w:pPr>
              <w:numPr>
                <w:ilvl w:val="0"/>
                <w:numId w:val="12"/>
              </w:numPr>
              <w:rPr>
                <w:rFonts w:ascii="微软雅黑" w:hAnsi="微软雅黑" w:eastAsia="微软雅黑"/>
                <w:szCs w:val="21"/>
              </w:rPr>
            </w:pPr>
            <w:r>
              <w:rPr>
                <w:rFonts w:hint="eastAsia" w:ascii="微软雅黑" w:hAnsi="微软雅黑" w:eastAsia="微软雅黑"/>
                <w:szCs w:val="21"/>
              </w:rPr>
              <w:t>后期运维技术支持安排清晰包括但不限于：人员分工方案（含备份人员）、集成配合方案（与现网网络、存储等）、代理商运维支持方案（含支持时效性承诺，人员安排等），优10-7分，中6-3分，差2-0分。</w:t>
            </w:r>
          </w:p>
          <w:p>
            <w:pPr>
              <w:numPr>
                <w:ilvl w:val="0"/>
                <w:numId w:val="12"/>
              </w:numPr>
              <w:rPr>
                <w:rFonts w:ascii="微软雅黑" w:hAnsi="微软雅黑" w:eastAsia="微软雅黑"/>
                <w:szCs w:val="21"/>
              </w:rPr>
            </w:pPr>
            <w:r>
              <w:rPr>
                <w:rFonts w:hint="eastAsia" w:ascii="微软雅黑" w:hAnsi="微软雅黑" w:eastAsia="微软雅黑"/>
                <w:szCs w:val="21"/>
              </w:rPr>
              <w:t>备件情况：提备机备件服务（包括整机或板卡、电源、光电相关模块等易损易坏部件）并根据从备件库到廊坊开发区机房的调货时间给分，优</w:t>
            </w:r>
            <w:r>
              <w:rPr>
                <w:rFonts w:hint="eastAsia" w:ascii="微软雅黑" w:hAnsi="微软雅黑" w:eastAsia="微软雅黑"/>
                <w:szCs w:val="21"/>
                <w:lang w:val="en-US" w:eastAsia="zh-CN"/>
              </w:rPr>
              <w:t>10</w:t>
            </w:r>
            <w:r>
              <w:rPr>
                <w:rFonts w:hint="eastAsia" w:ascii="微软雅黑" w:hAnsi="微软雅黑" w:eastAsia="微软雅黑"/>
                <w:szCs w:val="21"/>
              </w:rPr>
              <w:t>-</w:t>
            </w:r>
            <w:r>
              <w:rPr>
                <w:rFonts w:hint="eastAsia" w:ascii="微软雅黑" w:hAnsi="微软雅黑" w:eastAsia="微软雅黑"/>
                <w:szCs w:val="21"/>
                <w:lang w:val="en-US" w:eastAsia="zh-CN"/>
              </w:rPr>
              <w:t>7</w:t>
            </w:r>
            <w:r>
              <w:rPr>
                <w:rFonts w:hint="eastAsia" w:ascii="微软雅黑" w:hAnsi="微软雅黑" w:eastAsia="微软雅黑"/>
                <w:szCs w:val="21"/>
              </w:rPr>
              <w:t>分，中</w:t>
            </w:r>
            <w:r>
              <w:rPr>
                <w:rFonts w:hint="eastAsia" w:ascii="微软雅黑" w:hAnsi="微软雅黑" w:eastAsia="微软雅黑"/>
                <w:szCs w:val="21"/>
                <w:lang w:val="en-US" w:eastAsia="zh-CN"/>
              </w:rPr>
              <w:t>6</w:t>
            </w:r>
            <w:r>
              <w:rPr>
                <w:rFonts w:hint="eastAsia" w:ascii="微软雅黑" w:hAnsi="微软雅黑" w:eastAsia="微软雅黑"/>
                <w:szCs w:val="21"/>
              </w:rPr>
              <w:t>-</w:t>
            </w:r>
            <w:r>
              <w:rPr>
                <w:rFonts w:hint="eastAsia" w:ascii="微软雅黑" w:hAnsi="微软雅黑" w:eastAsia="微软雅黑"/>
                <w:szCs w:val="21"/>
                <w:lang w:val="en-US" w:eastAsia="zh-CN"/>
              </w:rPr>
              <w:t>3</w:t>
            </w:r>
            <w:r>
              <w:rPr>
                <w:rFonts w:hint="eastAsia" w:ascii="微软雅黑" w:hAnsi="微软雅黑" w:eastAsia="微软雅黑"/>
                <w:szCs w:val="21"/>
              </w:rPr>
              <w:t>分；不能提供备机备件服务的，差</w:t>
            </w:r>
            <w:r>
              <w:rPr>
                <w:rFonts w:hint="eastAsia" w:ascii="微软雅黑" w:hAnsi="微软雅黑" w:eastAsia="微软雅黑"/>
                <w:szCs w:val="21"/>
                <w:lang w:val="en-US" w:eastAsia="zh-CN"/>
              </w:rPr>
              <w:t>2</w:t>
            </w:r>
            <w:r>
              <w:rPr>
                <w:rFonts w:hint="eastAsia" w:ascii="微软雅黑" w:hAnsi="微软雅黑" w:eastAsia="微软雅黑"/>
                <w:szCs w:val="21"/>
              </w:rPr>
              <w:t>-0分。</w:t>
            </w:r>
          </w:p>
          <w:p>
            <w:pPr>
              <w:numPr>
                <w:ilvl w:val="0"/>
                <w:numId w:val="12"/>
              </w:numPr>
              <w:rPr>
                <w:rFonts w:ascii="微软雅黑" w:hAnsi="微软雅黑" w:eastAsia="微软雅黑"/>
                <w:szCs w:val="21"/>
              </w:rPr>
            </w:pPr>
            <w:r>
              <w:rPr>
                <w:rFonts w:hint="eastAsia" w:ascii="微软雅黑" w:hAnsi="微软雅黑" w:eastAsia="微软雅黑"/>
                <w:szCs w:val="21"/>
              </w:rPr>
              <w:t>全部提供且所有软硬件提供</w:t>
            </w:r>
            <w:r>
              <w:rPr>
                <w:rFonts w:ascii="微软雅黑" w:hAnsi="微软雅黑" w:eastAsia="微软雅黑"/>
                <w:szCs w:val="21"/>
              </w:rPr>
              <w:t>3年</w:t>
            </w:r>
            <w:r>
              <w:rPr>
                <w:rFonts w:hint="eastAsia" w:ascii="微软雅黑" w:hAnsi="微软雅黑" w:eastAsia="微软雅黑"/>
                <w:szCs w:val="21"/>
              </w:rPr>
              <w:t>原厂保修服务，且所有软硬件提供</w:t>
            </w:r>
            <w:r>
              <w:rPr>
                <w:rFonts w:ascii="微软雅黑" w:hAnsi="微软雅黑" w:eastAsia="微软雅黑"/>
                <w:szCs w:val="21"/>
              </w:rPr>
              <w:t>3年</w:t>
            </w:r>
            <w:r>
              <w:rPr>
                <w:rFonts w:hint="eastAsia" w:ascii="微软雅黑" w:hAnsi="微软雅黑" w:eastAsia="微软雅黑"/>
                <w:szCs w:val="21"/>
              </w:rPr>
              <w:t>7*24小时4小时上门不限次数原厂服务</w:t>
            </w:r>
            <w:r>
              <w:rPr>
                <w:rFonts w:hint="eastAsia" w:ascii="微软雅黑" w:hAnsi="微软雅黑" w:eastAsia="微软雅黑"/>
                <w:szCs w:val="21"/>
                <w:lang w:val="en-US" w:eastAsia="zh-CN"/>
              </w:rPr>
              <w:t>5</w:t>
            </w:r>
            <w:r>
              <w:rPr>
                <w:rFonts w:hint="eastAsia" w:ascii="微软雅黑" w:hAnsi="微软雅黑" w:eastAsia="微软雅黑"/>
                <w:szCs w:val="21"/>
              </w:rPr>
              <w:t>分，不能提供的0分。</w:t>
            </w:r>
          </w:p>
          <w:p>
            <w:pPr>
              <w:numPr>
                <w:ilvl w:val="0"/>
                <w:numId w:val="12"/>
              </w:numPr>
              <w:rPr>
                <w:rFonts w:ascii="微软雅黑" w:hAnsi="微软雅黑" w:eastAsia="微软雅黑"/>
                <w:szCs w:val="21"/>
              </w:rPr>
            </w:pPr>
            <w:r>
              <w:rPr>
                <w:rFonts w:hint="eastAsia" w:ascii="微软雅黑" w:hAnsi="微软雅黑" w:eastAsia="微软雅黑"/>
                <w:szCs w:val="21"/>
              </w:rPr>
              <w:t>培训方案：合理的培训方案并严格按照方案实施，保证行方人员熟练掌握项目所提供产品的相关技术，横向比较，优5-4分，中3-2分，差1-0分。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微软雅黑" w:hAnsi="微软雅黑" w:eastAsia="微软雅黑" w:cs="宋体"/>
                <w:lang w:val="en-US" w:eastAsia="zh-CN"/>
              </w:rPr>
            </w:pPr>
            <w:r>
              <w:rPr>
                <w:rFonts w:hint="eastAsia" w:ascii="微软雅黑" w:hAnsi="微软雅黑" w:eastAsia="微软雅黑" w:cs="宋体"/>
                <w:lang w:val="en-US" w:eastAsia="zh-CN"/>
              </w:rPr>
              <w:t>30</w:t>
            </w:r>
          </w:p>
        </w:tc>
        <w:tc>
          <w:tcPr>
            <w:tcW w:w="102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38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hint="eastAsia" w:ascii="微软雅黑" w:hAnsi="微软雅黑" w:eastAsia="微软雅黑" w:cs="宋体"/>
              </w:rPr>
              <w:t>5</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szCs w:val="21"/>
              </w:rPr>
            </w:pPr>
            <w:r>
              <w:rPr>
                <w:rFonts w:hint="eastAsia" w:ascii="微软雅黑" w:hAnsi="微软雅黑" w:eastAsia="微软雅黑"/>
                <w:szCs w:val="21"/>
              </w:rPr>
              <w:t>增值服务</w:t>
            </w:r>
          </w:p>
        </w:tc>
        <w:tc>
          <w:tcPr>
            <w:tcW w:w="10064"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szCs w:val="21"/>
              </w:rPr>
            </w:pPr>
            <w:r>
              <w:rPr>
                <w:rFonts w:hint="eastAsia" w:ascii="微软雅黑" w:hAnsi="微软雅黑" w:eastAsia="微软雅黑"/>
                <w:szCs w:val="21"/>
              </w:rPr>
              <w:t>根据提供的增值服务（包括不限于网络自动化运维培训认证、已有软件功能扩展</w:t>
            </w:r>
            <w:r>
              <w:rPr>
                <w:rFonts w:hint="eastAsia" w:ascii="微软雅黑" w:hAnsi="微软雅黑" w:eastAsia="微软雅黑"/>
                <w:szCs w:val="21"/>
                <w:lang w:eastAsia="zh-CN"/>
              </w:rPr>
              <w:t>、软硬件</w:t>
            </w:r>
            <w:r>
              <w:rPr>
                <w:rFonts w:hint="eastAsia" w:ascii="微软雅黑" w:hAnsi="微软雅黑" w:eastAsia="微软雅黑"/>
                <w:szCs w:val="21"/>
              </w:rPr>
              <w:t>等），横向比较，优</w:t>
            </w:r>
            <w:r>
              <w:rPr>
                <w:rFonts w:hint="eastAsia" w:ascii="微软雅黑" w:hAnsi="微软雅黑" w:eastAsia="微软雅黑"/>
                <w:szCs w:val="21"/>
                <w:lang w:val="en-US" w:eastAsia="zh-CN"/>
              </w:rPr>
              <w:t>7</w:t>
            </w:r>
            <w:r>
              <w:rPr>
                <w:rFonts w:hint="eastAsia" w:ascii="微软雅黑" w:hAnsi="微软雅黑" w:eastAsia="微软雅黑"/>
                <w:szCs w:val="21"/>
              </w:rPr>
              <w:t>-</w:t>
            </w:r>
            <w:r>
              <w:rPr>
                <w:rFonts w:hint="eastAsia" w:ascii="微软雅黑" w:hAnsi="微软雅黑" w:eastAsia="微软雅黑"/>
                <w:szCs w:val="21"/>
                <w:lang w:val="en-US" w:eastAsia="zh-CN"/>
              </w:rPr>
              <w:t>6</w:t>
            </w:r>
            <w:r>
              <w:rPr>
                <w:rFonts w:hint="eastAsia" w:ascii="微软雅黑" w:hAnsi="微软雅黑" w:eastAsia="微软雅黑"/>
                <w:szCs w:val="21"/>
              </w:rPr>
              <w:t>分，中</w:t>
            </w:r>
            <w:r>
              <w:rPr>
                <w:rFonts w:hint="eastAsia" w:ascii="微软雅黑" w:hAnsi="微软雅黑" w:eastAsia="微软雅黑"/>
                <w:szCs w:val="21"/>
                <w:lang w:val="en-US" w:eastAsia="zh-CN"/>
              </w:rPr>
              <w:t>4</w:t>
            </w:r>
            <w:r>
              <w:rPr>
                <w:rFonts w:hint="eastAsia" w:ascii="微软雅黑" w:hAnsi="微软雅黑" w:eastAsia="微软雅黑"/>
                <w:szCs w:val="21"/>
              </w:rPr>
              <w:t>-3分，差</w:t>
            </w:r>
            <w:r>
              <w:rPr>
                <w:rFonts w:hint="eastAsia" w:ascii="微软雅黑" w:hAnsi="微软雅黑" w:eastAsia="微软雅黑"/>
                <w:szCs w:val="21"/>
                <w:lang w:val="en-US" w:eastAsia="zh-CN"/>
              </w:rPr>
              <w:t>1</w:t>
            </w:r>
            <w:r>
              <w:rPr>
                <w:rFonts w:hint="eastAsia" w:ascii="微软雅黑" w:hAnsi="微软雅黑" w:eastAsia="微软雅黑"/>
                <w:szCs w:val="21"/>
              </w:rPr>
              <w:t>-0分。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宋体"/>
                <w:lang w:val="en-US" w:eastAsia="zh-CN"/>
              </w:rPr>
            </w:pPr>
            <w:r>
              <w:rPr>
                <w:rFonts w:hint="eastAsia" w:ascii="微软雅黑" w:hAnsi="微软雅黑" w:eastAsia="微软雅黑" w:cs="宋体"/>
                <w:lang w:val="en-US" w:eastAsia="zh-CN"/>
              </w:rPr>
              <w:t>7</w:t>
            </w:r>
          </w:p>
        </w:tc>
        <w:tc>
          <w:tcPr>
            <w:tcW w:w="102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38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r>
              <w:rPr>
                <w:rFonts w:ascii="微软雅黑" w:hAnsi="微软雅黑" w:eastAsia="微软雅黑" w:cs="宋体"/>
              </w:rPr>
              <w:t>　</w:t>
            </w:r>
          </w:p>
        </w:tc>
        <w:tc>
          <w:tcPr>
            <w:tcW w:w="11907"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r>
              <w:rPr>
                <w:rFonts w:ascii="微软雅黑" w:hAnsi="微软雅黑" w:eastAsia="微软雅黑" w:cs="宋体"/>
              </w:rPr>
              <w:t>评定分值</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ascii="微软雅黑" w:hAnsi="微软雅黑" w:eastAsia="微软雅黑" w:cs="宋体"/>
              </w:rPr>
              <w:t>100</w:t>
            </w:r>
            <w:r>
              <w:rPr>
                <w:rFonts w:hint="eastAsia" w:ascii="微软雅黑" w:hAnsi="微软雅黑" w:eastAsia="微软雅黑" w:cs="宋体"/>
              </w:rPr>
              <w:t>分</w:t>
            </w:r>
          </w:p>
        </w:tc>
        <w:tc>
          <w:tcPr>
            <w:tcW w:w="102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464" w:hRule="atLeast"/>
          <w:jc w:val="center"/>
        </w:trPr>
        <w:tc>
          <w:tcPr>
            <w:tcW w:w="704" w:type="dxa"/>
            <w:tcBorders>
              <w:top w:val="single" w:color="auto" w:sz="4" w:space="0"/>
            </w:tcBorders>
            <w:vAlign w:val="center"/>
          </w:tcPr>
          <w:p>
            <w:pPr>
              <w:rPr>
                <w:rFonts w:ascii="微软雅黑" w:hAnsi="微软雅黑" w:eastAsia="微软雅黑" w:cs="宋体"/>
              </w:rPr>
            </w:pPr>
          </w:p>
        </w:tc>
        <w:tc>
          <w:tcPr>
            <w:tcW w:w="11907" w:type="dxa"/>
            <w:gridSpan w:val="2"/>
            <w:tcBorders>
              <w:top w:val="single" w:color="auto" w:sz="4" w:space="0"/>
            </w:tcBorders>
            <w:vAlign w:val="center"/>
          </w:tcPr>
          <w:p>
            <w:pPr>
              <w:rPr>
                <w:rFonts w:ascii="微软雅黑" w:hAnsi="微软雅黑" w:eastAsia="微软雅黑" w:cs="宋体"/>
              </w:rPr>
            </w:pPr>
            <w:r>
              <w:rPr>
                <w:rFonts w:hint="eastAsia" w:ascii="微软雅黑" w:hAnsi="微软雅黑" w:eastAsia="微软雅黑" w:cs="宋体"/>
              </w:rPr>
              <w:t>评委：__________________(签名)                                     评标日期：___________________</w:t>
            </w:r>
          </w:p>
        </w:tc>
        <w:tc>
          <w:tcPr>
            <w:tcW w:w="1134" w:type="dxa"/>
            <w:tcBorders>
              <w:top w:val="single" w:color="auto" w:sz="4" w:space="0"/>
            </w:tcBorders>
            <w:vAlign w:val="center"/>
          </w:tcPr>
          <w:p>
            <w:pPr>
              <w:jc w:val="center"/>
              <w:rPr>
                <w:rFonts w:ascii="微软雅黑" w:hAnsi="微软雅黑" w:eastAsia="微软雅黑" w:cs="宋体"/>
              </w:rPr>
            </w:pPr>
          </w:p>
        </w:tc>
        <w:tc>
          <w:tcPr>
            <w:tcW w:w="1028" w:type="dxa"/>
            <w:tcBorders>
              <w:top w:val="single" w:color="auto" w:sz="4" w:space="0"/>
            </w:tcBorders>
            <w:vAlign w:val="center"/>
          </w:tcPr>
          <w:p>
            <w:pPr>
              <w:widowControl/>
              <w:snapToGrid w:val="0"/>
              <w:jc w:val="center"/>
              <w:rPr>
                <w:rFonts w:ascii="微软雅黑" w:hAnsi="微软雅黑" w:eastAsia="微软雅黑"/>
                <w:kern w:val="0"/>
                <w:szCs w:val="21"/>
              </w:rPr>
            </w:pPr>
          </w:p>
        </w:tc>
      </w:tr>
    </w:tbl>
    <w:p>
      <w:pPr>
        <w:widowControl/>
        <w:rPr>
          <w:rFonts w:ascii="微软雅黑" w:hAnsi="微软雅黑" w:eastAsia="微软雅黑"/>
          <w:b/>
          <w:sz w:val="20"/>
          <w:szCs w:val="20"/>
        </w:rPr>
        <w:sectPr>
          <w:pgSz w:w="16834" w:h="11909" w:orient="landscape"/>
          <w:pgMar w:top="1134" w:right="1440" w:bottom="1134" w:left="1440" w:header="720" w:footer="720" w:gutter="0"/>
          <w:pgNumType w:fmt="decimalFullWidth"/>
          <w:cols w:space="720" w:num="1"/>
          <w:docGrid w:linePitch="286" w:charSpace="0"/>
        </w:sectPr>
      </w:pPr>
    </w:p>
    <w:p>
      <w:pPr>
        <w:widowControl/>
        <w:rPr>
          <w:rFonts w:ascii="微软雅黑" w:hAnsi="微软雅黑" w:eastAsia="微软雅黑"/>
          <w:b/>
          <w:sz w:val="20"/>
          <w:szCs w:val="20"/>
        </w:rPr>
      </w:pPr>
    </w:p>
    <w:p>
      <w:pPr>
        <w:widowControl/>
        <w:jc w:val="center"/>
        <w:rPr>
          <w:rFonts w:ascii="微软雅黑" w:hAnsi="微软雅黑" w:eastAsia="微软雅黑"/>
          <w:b/>
          <w:sz w:val="20"/>
          <w:szCs w:val="20"/>
        </w:rPr>
      </w:pPr>
      <w:r>
        <w:rPr>
          <w:rFonts w:hint="eastAsia" w:ascii="微软雅黑" w:hAnsi="微软雅黑" w:eastAsia="微软雅黑"/>
          <w:b/>
          <w:sz w:val="20"/>
          <w:szCs w:val="20"/>
        </w:rPr>
        <w:t>三、商务标评分表</w:t>
      </w:r>
    </w:p>
    <w:p>
      <w:pPr>
        <w:widowControl/>
        <w:jc w:val="center"/>
        <w:rPr>
          <w:rFonts w:ascii="微软雅黑" w:hAnsi="微软雅黑" w:eastAsia="微软雅黑"/>
          <w:sz w:val="20"/>
          <w:szCs w:val="20"/>
        </w:rPr>
      </w:pPr>
    </w:p>
    <w:tbl>
      <w:tblPr>
        <w:tblStyle w:val="32"/>
        <w:tblW w:w="10108" w:type="dxa"/>
        <w:tblInd w:w="-77" w:type="dxa"/>
        <w:tblLayout w:type="fixed"/>
        <w:tblCellMar>
          <w:top w:w="0" w:type="dxa"/>
          <w:left w:w="108" w:type="dxa"/>
          <w:bottom w:w="0" w:type="dxa"/>
          <w:right w:w="108" w:type="dxa"/>
        </w:tblCellMar>
      </w:tblPr>
      <w:tblGrid>
        <w:gridCol w:w="1178"/>
        <w:gridCol w:w="1701"/>
        <w:gridCol w:w="2409"/>
        <w:gridCol w:w="1134"/>
        <w:gridCol w:w="993"/>
        <w:gridCol w:w="850"/>
        <w:gridCol w:w="992"/>
        <w:gridCol w:w="851"/>
      </w:tblGrid>
      <w:tr>
        <w:tblPrEx>
          <w:tblLayout w:type="fixed"/>
          <w:tblCellMar>
            <w:top w:w="0" w:type="dxa"/>
            <w:left w:w="108" w:type="dxa"/>
            <w:bottom w:w="0" w:type="dxa"/>
            <w:right w:w="108" w:type="dxa"/>
          </w:tblCellMar>
        </w:tblPrEx>
        <w:trPr>
          <w:trHeight w:val="638" w:hRule="atLeast"/>
        </w:trPr>
        <w:tc>
          <w:tcPr>
            <w:tcW w:w="1178" w:type="dxa"/>
            <w:vMerge w:val="restart"/>
            <w:tcBorders>
              <w:top w:val="single" w:color="auto" w:sz="12" w:space="0"/>
              <w:left w:val="single" w:color="auto" w:sz="12" w:space="0"/>
              <w:bottom w:val="single" w:color="000000" w:sz="4" w:space="0"/>
              <w:right w:val="single" w:color="auto" w:sz="4" w:space="0"/>
            </w:tcBorders>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序号</w:t>
            </w:r>
          </w:p>
        </w:tc>
        <w:tc>
          <w:tcPr>
            <w:tcW w:w="1701" w:type="dxa"/>
            <w:vMerge w:val="restart"/>
            <w:tcBorders>
              <w:top w:val="single" w:color="auto" w:sz="12" w:space="0"/>
              <w:left w:val="single" w:color="auto" w:sz="4" w:space="0"/>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项目内容</w:t>
            </w:r>
          </w:p>
        </w:tc>
        <w:tc>
          <w:tcPr>
            <w:tcW w:w="2409" w:type="dxa"/>
            <w:vMerge w:val="restart"/>
            <w:tcBorders>
              <w:top w:val="single" w:color="auto" w:sz="12" w:space="0"/>
              <w:left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评标标准</w:t>
            </w:r>
          </w:p>
        </w:tc>
        <w:tc>
          <w:tcPr>
            <w:tcW w:w="1134" w:type="dxa"/>
            <w:vMerge w:val="restart"/>
            <w:tcBorders>
              <w:top w:val="single" w:color="auto" w:sz="12"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总分值</w:t>
            </w:r>
          </w:p>
        </w:tc>
        <w:tc>
          <w:tcPr>
            <w:tcW w:w="3686" w:type="dxa"/>
            <w:gridSpan w:val="4"/>
            <w:tcBorders>
              <w:top w:val="single" w:color="auto" w:sz="12" w:space="0"/>
              <w:left w:val="nil"/>
              <w:bottom w:val="single" w:color="auto" w:sz="4" w:space="0"/>
              <w:right w:val="single" w:color="auto" w:sz="12" w:space="0"/>
            </w:tcBorders>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各投标人评定分值</w:t>
            </w:r>
          </w:p>
        </w:tc>
      </w:tr>
      <w:tr>
        <w:tblPrEx>
          <w:tblLayout w:type="fixed"/>
          <w:tblCellMar>
            <w:top w:w="0" w:type="dxa"/>
            <w:left w:w="108" w:type="dxa"/>
            <w:bottom w:w="0" w:type="dxa"/>
            <w:right w:w="108" w:type="dxa"/>
          </w:tblCellMar>
        </w:tblPrEx>
        <w:trPr>
          <w:trHeight w:val="850" w:hRule="atLeast"/>
        </w:trPr>
        <w:tc>
          <w:tcPr>
            <w:tcW w:w="1178" w:type="dxa"/>
            <w:vMerge w:val="continue"/>
            <w:tcBorders>
              <w:top w:val="single" w:color="auto" w:sz="4" w:space="0"/>
              <w:left w:val="single" w:color="auto" w:sz="12" w:space="0"/>
              <w:bottom w:val="single" w:color="000000" w:sz="4" w:space="0"/>
              <w:right w:val="single" w:color="auto" w:sz="4" w:space="0"/>
            </w:tcBorders>
            <w:vAlign w:val="center"/>
          </w:tcPr>
          <w:p>
            <w:pPr>
              <w:widowControl/>
              <w:spacing w:line="440" w:lineRule="exact"/>
              <w:jc w:val="left"/>
              <w:rPr>
                <w:rFonts w:ascii="微软雅黑" w:hAnsi="微软雅黑" w:eastAsia="微软雅黑"/>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p>
        </w:tc>
        <w:tc>
          <w:tcPr>
            <w:tcW w:w="2409" w:type="dxa"/>
            <w:vMerge w:val="continue"/>
            <w:tcBorders>
              <w:left w:val="single" w:color="auto" w:sz="4" w:space="0"/>
              <w:bottom w:val="single" w:color="auto" w:sz="4" w:space="0"/>
              <w:right w:val="single" w:color="auto" w:sz="4" w:space="0"/>
            </w:tcBorders>
          </w:tcPr>
          <w:p>
            <w:pPr>
              <w:spacing w:line="440" w:lineRule="exact"/>
              <w:rPr>
                <w:rFonts w:ascii="微软雅黑" w:hAnsi="微软雅黑" w:eastAsia="微软雅黑"/>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spacing w:line="440" w:lineRule="exact"/>
              <w:rPr>
                <w:rFonts w:ascii="微软雅黑" w:hAnsi="微软雅黑" w:eastAsia="微软雅黑"/>
                <w:b/>
                <w:szCs w:val="21"/>
              </w:rPr>
            </w:pPr>
          </w:p>
        </w:tc>
        <w:tc>
          <w:tcPr>
            <w:tcW w:w="850" w:type="dxa"/>
            <w:tcBorders>
              <w:top w:val="nil"/>
              <w:left w:val="nil"/>
              <w:bottom w:val="single" w:color="auto" w:sz="4" w:space="0"/>
              <w:right w:val="single" w:color="auto" w:sz="4" w:space="0"/>
            </w:tcBorders>
            <w:vAlign w:val="center"/>
          </w:tcPr>
          <w:p>
            <w:pPr>
              <w:spacing w:line="440" w:lineRule="exact"/>
              <w:rPr>
                <w:rFonts w:ascii="微软雅黑" w:hAnsi="微软雅黑" w:eastAsia="微软雅黑"/>
                <w:b/>
                <w:szCs w:val="21"/>
              </w:rPr>
            </w:pPr>
          </w:p>
        </w:tc>
        <w:tc>
          <w:tcPr>
            <w:tcW w:w="992" w:type="dxa"/>
            <w:tcBorders>
              <w:top w:val="single" w:color="auto" w:sz="4" w:space="0"/>
              <w:left w:val="nil"/>
              <w:bottom w:val="single" w:color="auto" w:sz="4" w:space="0"/>
              <w:right w:val="single" w:color="auto" w:sz="4" w:space="0"/>
            </w:tcBorders>
            <w:vAlign w:val="center"/>
          </w:tcPr>
          <w:p>
            <w:pPr>
              <w:spacing w:line="440" w:lineRule="exact"/>
              <w:jc w:val="center"/>
              <w:rPr>
                <w:rFonts w:ascii="微软雅黑" w:hAnsi="微软雅黑" w:eastAsia="微软雅黑"/>
                <w:b/>
                <w:szCs w:val="21"/>
              </w:rPr>
            </w:pPr>
          </w:p>
        </w:tc>
        <w:tc>
          <w:tcPr>
            <w:tcW w:w="851" w:type="dxa"/>
            <w:tcBorders>
              <w:top w:val="single" w:color="auto" w:sz="4" w:space="0"/>
              <w:left w:val="nil"/>
              <w:bottom w:val="single" w:color="auto" w:sz="4" w:space="0"/>
              <w:right w:val="single" w:color="auto" w:sz="12" w:space="0"/>
            </w:tcBorders>
            <w:vAlign w:val="center"/>
          </w:tcPr>
          <w:p>
            <w:pPr>
              <w:spacing w:line="440" w:lineRule="exact"/>
              <w:jc w:val="center"/>
              <w:rPr>
                <w:rFonts w:ascii="微软雅黑" w:hAnsi="微软雅黑" w:eastAsia="微软雅黑"/>
                <w:b/>
                <w:szCs w:val="21"/>
              </w:rPr>
            </w:pPr>
          </w:p>
        </w:tc>
      </w:tr>
      <w:tr>
        <w:tblPrEx>
          <w:tblLayout w:type="fixed"/>
          <w:tblCellMar>
            <w:top w:w="0" w:type="dxa"/>
            <w:left w:w="108" w:type="dxa"/>
            <w:bottom w:w="0" w:type="dxa"/>
            <w:right w:w="108" w:type="dxa"/>
          </w:tblCellMar>
        </w:tblPrEx>
        <w:trPr>
          <w:trHeight w:val="881" w:hRule="atLeast"/>
        </w:trPr>
        <w:tc>
          <w:tcPr>
            <w:tcW w:w="1178" w:type="dxa"/>
            <w:tcBorders>
              <w:top w:val="nil"/>
              <w:left w:val="single" w:color="auto" w:sz="12" w:space="0"/>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w:t>
            </w:r>
          </w:p>
        </w:tc>
        <w:tc>
          <w:tcPr>
            <w:tcW w:w="2409" w:type="dxa"/>
            <w:tcBorders>
              <w:top w:val="single" w:color="auto" w:sz="4" w:space="0"/>
              <w:left w:val="single" w:color="auto" w:sz="4" w:space="0"/>
              <w:bottom w:val="single" w:color="auto" w:sz="4" w:space="0"/>
              <w:right w:val="single" w:color="auto" w:sz="4" w:space="0"/>
            </w:tcBorders>
          </w:tcPr>
          <w:p>
            <w:pPr>
              <w:spacing w:line="440" w:lineRule="exact"/>
              <w:rPr>
                <w:rFonts w:ascii="微软雅黑" w:hAnsi="微软雅黑" w:eastAsia="微软雅黑"/>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widowControl/>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widowControl/>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892" w:hRule="atLeast"/>
        </w:trPr>
        <w:tc>
          <w:tcPr>
            <w:tcW w:w="1178" w:type="dxa"/>
            <w:tcBorders>
              <w:top w:val="nil"/>
              <w:left w:val="single" w:color="auto" w:sz="12" w:space="0"/>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小计</w:t>
            </w: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微软雅黑" w:hAnsi="微软雅黑" w:eastAsia="微软雅黑"/>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widowControl/>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widowControl/>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2637" w:hRule="atLeast"/>
        </w:trPr>
        <w:tc>
          <w:tcPr>
            <w:tcW w:w="1178" w:type="dxa"/>
            <w:tcBorders>
              <w:top w:val="nil"/>
              <w:left w:val="single" w:color="auto" w:sz="12" w:space="0"/>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投标报价评定分值（A1）</w:t>
            </w: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微软雅黑" w:hAnsi="微软雅黑" w:eastAsia="微软雅黑"/>
                <w:szCs w:val="21"/>
              </w:rPr>
            </w:pPr>
            <w:r>
              <w:rPr>
                <w:rFonts w:hint="eastAsia" w:ascii="微软雅黑" w:hAnsi="微软雅黑" w:eastAsia="微软雅黑"/>
                <w:szCs w:val="21"/>
              </w:rPr>
              <w:t>经专家评审的有效投标报价的平均价作为评标基准价，当投标价等于基准价时得100分，投标价每高于基准价1.00%，扣1.00分,投标价每低于基准价1.00%，扣0.5分,扣至0分为止。得分精确到小数点后两位。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100分</w:t>
            </w:r>
          </w:p>
        </w:tc>
        <w:tc>
          <w:tcPr>
            <w:tcW w:w="993" w:type="dxa"/>
            <w:tcBorders>
              <w:top w:val="nil"/>
              <w:left w:val="nil"/>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widowControl/>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widowControl/>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widowControl/>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2978" w:hRule="atLeast"/>
        </w:trPr>
        <w:tc>
          <w:tcPr>
            <w:tcW w:w="2879" w:type="dxa"/>
            <w:gridSpan w:val="2"/>
            <w:tcBorders>
              <w:top w:val="single" w:color="auto" w:sz="4" w:space="0"/>
              <w:left w:val="single" w:color="auto" w:sz="12" w:space="0"/>
              <w:bottom w:val="single" w:color="auto" w:sz="12" w:space="0"/>
              <w:right w:val="single" w:color="auto" w:sz="4" w:space="0"/>
            </w:tcBorders>
            <w:vAlign w:val="center"/>
          </w:tcPr>
          <w:p>
            <w:pPr>
              <w:widowControl/>
              <w:spacing w:line="440" w:lineRule="exact"/>
              <w:rPr>
                <w:rFonts w:ascii="微软雅黑" w:hAnsi="微软雅黑" w:eastAsia="微软雅黑"/>
                <w:kern w:val="0"/>
                <w:szCs w:val="21"/>
              </w:rPr>
            </w:pPr>
            <w:r>
              <w:rPr>
                <w:rFonts w:hint="eastAsia" w:ascii="微软雅黑" w:hAnsi="微软雅黑" w:eastAsia="微软雅黑"/>
                <w:kern w:val="0"/>
                <w:szCs w:val="21"/>
              </w:rPr>
              <w:t>评委签字</w:t>
            </w:r>
          </w:p>
        </w:tc>
        <w:tc>
          <w:tcPr>
            <w:tcW w:w="7229" w:type="dxa"/>
            <w:gridSpan w:val="6"/>
            <w:tcBorders>
              <w:top w:val="single" w:color="auto" w:sz="4" w:space="0"/>
              <w:left w:val="single" w:color="auto" w:sz="4" w:space="0"/>
              <w:bottom w:val="single" w:color="auto" w:sz="12" w:space="0"/>
              <w:right w:val="single" w:color="auto" w:sz="12" w:space="0"/>
            </w:tcBorders>
          </w:tcPr>
          <w:p>
            <w:pPr>
              <w:widowControl/>
              <w:spacing w:line="440" w:lineRule="exact"/>
              <w:jc w:val="center"/>
              <w:rPr>
                <w:rFonts w:ascii="微软雅黑" w:hAnsi="微软雅黑" w:eastAsia="微软雅黑"/>
                <w:kern w:val="0"/>
                <w:szCs w:val="21"/>
              </w:rPr>
            </w:pPr>
          </w:p>
        </w:tc>
      </w:tr>
    </w:tbl>
    <w:p>
      <w:pPr>
        <w:pStyle w:val="38"/>
        <w:tabs>
          <w:tab w:val="left" w:pos="465"/>
          <w:tab w:val="left" w:pos="1140"/>
        </w:tabs>
        <w:spacing w:line="440" w:lineRule="exact"/>
        <w:ind w:firstLine="0" w:firstLineChars="0"/>
        <w:rPr>
          <w:rFonts w:ascii="微软雅黑" w:hAnsi="微软雅黑" w:eastAsia="微软雅黑"/>
          <w:szCs w:val="21"/>
        </w:rPr>
      </w:pPr>
    </w:p>
    <w:p>
      <w:pPr>
        <w:pStyle w:val="38"/>
        <w:tabs>
          <w:tab w:val="left" w:pos="465"/>
          <w:tab w:val="left" w:pos="1140"/>
        </w:tabs>
        <w:spacing w:line="440" w:lineRule="exact"/>
        <w:ind w:firstLine="0" w:firstLineChars="0"/>
        <w:rPr>
          <w:rFonts w:ascii="微软雅黑" w:hAnsi="微软雅黑" w:eastAsia="微软雅黑"/>
          <w:szCs w:val="21"/>
        </w:rPr>
      </w:pPr>
    </w:p>
    <w:p>
      <w:pPr>
        <w:pStyle w:val="38"/>
        <w:tabs>
          <w:tab w:val="left" w:pos="465"/>
          <w:tab w:val="left" w:pos="1140"/>
        </w:tabs>
        <w:spacing w:line="440" w:lineRule="exact"/>
        <w:ind w:firstLine="0" w:firstLineChars="0"/>
        <w:rPr>
          <w:rFonts w:ascii="微软雅黑" w:hAnsi="微软雅黑" w:eastAsia="微软雅黑"/>
          <w:szCs w:val="21"/>
        </w:rPr>
      </w:pPr>
    </w:p>
    <w:p>
      <w:pPr>
        <w:pStyle w:val="38"/>
        <w:tabs>
          <w:tab w:val="left" w:pos="465"/>
          <w:tab w:val="left" w:pos="1140"/>
        </w:tabs>
        <w:spacing w:line="440" w:lineRule="exact"/>
        <w:ind w:firstLine="0" w:firstLineChars="0"/>
        <w:rPr>
          <w:rFonts w:ascii="微软雅黑" w:hAnsi="微软雅黑" w:eastAsia="微软雅黑"/>
          <w:b/>
          <w:kern w:val="0"/>
          <w:szCs w:val="21"/>
        </w:rPr>
      </w:pPr>
    </w:p>
    <w:p>
      <w:pPr>
        <w:widowControl/>
        <w:jc w:val="left"/>
        <w:rPr>
          <w:rFonts w:ascii="微软雅黑" w:hAnsi="微软雅黑" w:eastAsia="微软雅黑"/>
          <w:b/>
          <w:kern w:val="0"/>
          <w:szCs w:val="21"/>
        </w:rPr>
      </w:pPr>
      <w:r>
        <w:rPr>
          <w:rFonts w:ascii="微软雅黑" w:hAnsi="微软雅黑" w:eastAsia="微软雅黑"/>
          <w:b/>
          <w:kern w:val="0"/>
          <w:szCs w:val="21"/>
        </w:rPr>
        <w:br w:type="page"/>
      </w:r>
    </w:p>
    <w:p>
      <w:pPr>
        <w:pStyle w:val="38"/>
        <w:tabs>
          <w:tab w:val="left" w:pos="465"/>
          <w:tab w:val="left" w:pos="1140"/>
        </w:tabs>
        <w:spacing w:line="440" w:lineRule="exact"/>
        <w:ind w:firstLine="0" w:firstLineChars="0"/>
        <w:jc w:val="center"/>
        <w:rPr>
          <w:rFonts w:ascii="微软雅黑" w:hAnsi="微软雅黑" w:eastAsia="微软雅黑"/>
          <w:b/>
          <w:kern w:val="0"/>
          <w:szCs w:val="21"/>
        </w:rPr>
      </w:pPr>
      <w:r>
        <w:rPr>
          <w:rFonts w:hint="eastAsia" w:ascii="微软雅黑" w:hAnsi="微软雅黑" w:eastAsia="微软雅黑"/>
          <w:b/>
          <w:kern w:val="0"/>
          <w:szCs w:val="21"/>
        </w:rPr>
        <w:t>四、综合评分表</w:t>
      </w:r>
    </w:p>
    <w:p>
      <w:pPr>
        <w:spacing w:line="440" w:lineRule="exact"/>
        <w:ind w:left="420"/>
        <w:rPr>
          <w:rFonts w:ascii="微软雅黑" w:hAnsi="微软雅黑" w:eastAsia="微软雅黑"/>
          <w:b/>
          <w:kern w:val="0"/>
          <w:szCs w:val="21"/>
        </w:rPr>
      </w:pPr>
    </w:p>
    <w:tbl>
      <w:tblPr>
        <w:tblStyle w:val="32"/>
        <w:tblW w:w="9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44"/>
        <w:gridCol w:w="1091"/>
        <w:gridCol w:w="1194"/>
        <w:gridCol w:w="1219"/>
        <w:gridCol w:w="1419"/>
        <w:gridCol w:w="761"/>
        <w:gridCol w:w="65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307" w:type="dxa"/>
            <w:gridSpan w:val="2"/>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项目名称</w:t>
            </w:r>
          </w:p>
        </w:tc>
        <w:tc>
          <w:tcPr>
            <w:tcW w:w="3504" w:type="dxa"/>
            <w:gridSpan w:val="3"/>
            <w:vAlign w:val="center"/>
          </w:tcPr>
          <w:p>
            <w:pPr>
              <w:tabs>
                <w:tab w:val="left" w:pos="5540"/>
              </w:tabs>
              <w:spacing w:line="440" w:lineRule="exact"/>
              <w:jc w:val="center"/>
              <w:rPr>
                <w:rFonts w:hint="eastAsia" w:ascii="微软雅黑" w:hAnsi="微软雅黑" w:eastAsia="微软雅黑"/>
                <w:szCs w:val="21"/>
                <w:lang w:eastAsia="zh-CN"/>
              </w:rPr>
            </w:pPr>
            <w:r>
              <w:rPr>
                <w:rFonts w:hint="eastAsia" w:ascii="微软雅黑" w:hAnsi="微软雅黑" w:eastAsia="微软雅黑"/>
                <w:szCs w:val="21"/>
              </w:rPr>
              <w:t>廊坊银行</w:t>
            </w:r>
            <w:r>
              <w:rPr>
                <w:rFonts w:hint="eastAsia" w:ascii="微软雅黑" w:hAnsi="微软雅黑" w:eastAsia="微软雅黑" w:cs="Times New Roman"/>
                <w:szCs w:val="21"/>
                <w:lang w:eastAsia="zh-CN"/>
              </w:rPr>
              <w:t>供应链金融项目-网络设备采购</w:t>
            </w:r>
          </w:p>
        </w:tc>
        <w:tc>
          <w:tcPr>
            <w:tcW w:w="2180" w:type="dxa"/>
            <w:gridSpan w:val="2"/>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评标时间</w:t>
            </w:r>
          </w:p>
        </w:tc>
        <w:tc>
          <w:tcPr>
            <w:tcW w:w="1930" w:type="dxa"/>
            <w:gridSpan w:val="2"/>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63"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序号</w:t>
            </w:r>
          </w:p>
        </w:tc>
        <w:tc>
          <w:tcPr>
            <w:tcW w:w="1244"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w:t>
            </w:r>
          </w:p>
        </w:tc>
        <w:tc>
          <w:tcPr>
            <w:tcW w:w="1091"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权重</w:t>
            </w:r>
          </w:p>
        </w:tc>
        <w:tc>
          <w:tcPr>
            <w:tcW w:w="6523" w:type="dxa"/>
            <w:gridSpan w:val="6"/>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投标人评定分值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063" w:type="dxa"/>
            <w:vMerge w:val="continue"/>
            <w:vAlign w:val="center"/>
          </w:tcPr>
          <w:p>
            <w:pPr>
              <w:tabs>
                <w:tab w:val="left" w:pos="5540"/>
              </w:tabs>
              <w:spacing w:line="440" w:lineRule="exact"/>
              <w:jc w:val="center"/>
              <w:rPr>
                <w:rFonts w:ascii="微软雅黑" w:hAnsi="微软雅黑" w:eastAsia="微软雅黑"/>
                <w:szCs w:val="21"/>
              </w:rPr>
            </w:pPr>
          </w:p>
        </w:tc>
        <w:tc>
          <w:tcPr>
            <w:tcW w:w="1244" w:type="dxa"/>
            <w:vMerge w:val="continue"/>
            <w:vAlign w:val="center"/>
          </w:tcPr>
          <w:p>
            <w:pPr>
              <w:tabs>
                <w:tab w:val="left" w:pos="5540"/>
              </w:tabs>
              <w:spacing w:line="440" w:lineRule="exact"/>
              <w:jc w:val="center"/>
              <w:rPr>
                <w:rFonts w:ascii="微软雅黑" w:hAnsi="微软雅黑" w:eastAsia="微软雅黑"/>
                <w:szCs w:val="21"/>
              </w:rPr>
            </w:pPr>
          </w:p>
        </w:tc>
        <w:tc>
          <w:tcPr>
            <w:tcW w:w="1091" w:type="dxa"/>
            <w:vMerge w:val="continue"/>
            <w:vAlign w:val="center"/>
          </w:tcPr>
          <w:p>
            <w:pPr>
              <w:tabs>
                <w:tab w:val="left" w:pos="5540"/>
              </w:tabs>
              <w:spacing w:line="440" w:lineRule="exact"/>
              <w:jc w:val="center"/>
              <w:rPr>
                <w:rFonts w:ascii="微软雅黑" w:hAnsi="微软雅黑" w:eastAsia="微软雅黑"/>
                <w:szCs w:val="21"/>
              </w:rPr>
            </w:pPr>
          </w:p>
        </w:tc>
        <w:tc>
          <w:tcPr>
            <w:tcW w:w="1194" w:type="dxa"/>
            <w:vAlign w:val="center"/>
          </w:tcPr>
          <w:p>
            <w:pPr>
              <w:spacing w:line="440" w:lineRule="exact"/>
              <w:rPr>
                <w:rFonts w:ascii="微软雅黑" w:hAnsi="微软雅黑" w:eastAsia="微软雅黑"/>
                <w:b/>
                <w:szCs w:val="21"/>
              </w:rPr>
            </w:pPr>
          </w:p>
        </w:tc>
        <w:tc>
          <w:tcPr>
            <w:tcW w:w="1219" w:type="dxa"/>
            <w:vAlign w:val="center"/>
          </w:tcPr>
          <w:p>
            <w:pPr>
              <w:spacing w:line="440" w:lineRule="exact"/>
              <w:rPr>
                <w:rFonts w:ascii="微软雅黑" w:hAnsi="微软雅黑" w:eastAsia="微软雅黑"/>
                <w:b/>
                <w:szCs w:val="21"/>
              </w:rPr>
            </w:pPr>
          </w:p>
        </w:tc>
        <w:tc>
          <w:tcPr>
            <w:tcW w:w="1419" w:type="dxa"/>
            <w:vAlign w:val="center"/>
          </w:tcPr>
          <w:p>
            <w:pPr>
              <w:spacing w:line="440" w:lineRule="exact"/>
              <w:jc w:val="center"/>
              <w:rPr>
                <w:rFonts w:ascii="微软雅黑" w:hAnsi="微软雅黑" w:eastAsia="微软雅黑"/>
                <w:b/>
                <w:szCs w:val="21"/>
              </w:rPr>
            </w:pPr>
          </w:p>
        </w:tc>
        <w:tc>
          <w:tcPr>
            <w:tcW w:w="1417" w:type="dxa"/>
            <w:gridSpan w:val="2"/>
            <w:vAlign w:val="center"/>
          </w:tcPr>
          <w:p>
            <w:pPr>
              <w:spacing w:line="440" w:lineRule="exact"/>
              <w:jc w:val="center"/>
              <w:rPr>
                <w:rFonts w:ascii="微软雅黑" w:hAnsi="微软雅黑" w:eastAsia="微软雅黑"/>
                <w:b/>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063"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1</w:t>
            </w:r>
          </w:p>
        </w:tc>
        <w:tc>
          <w:tcPr>
            <w:tcW w:w="1244"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商务标</w:t>
            </w:r>
          </w:p>
        </w:tc>
        <w:tc>
          <w:tcPr>
            <w:tcW w:w="1091"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lang w:val="en-US" w:eastAsia="zh-CN"/>
              </w:rPr>
              <w:t>6</w:t>
            </w:r>
            <w:r>
              <w:rPr>
                <w:rFonts w:hint="eastAsia" w:ascii="微软雅黑" w:hAnsi="微软雅黑" w:eastAsia="微软雅黑"/>
                <w:szCs w:val="21"/>
              </w:rPr>
              <w:t>0%</w:t>
            </w:r>
          </w:p>
        </w:tc>
        <w:tc>
          <w:tcPr>
            <w:tcW w:w="1194" w:type="dxa"/>
            <w:vAlign w:val="center"/>
          </w:tcPr>
          <w:p>
            <w:pPr>
              <w:widowControl/>
              <w:spacing w:line="440" w:lineRule="exact"/>
              <w:jc w:val="center"/>
              <w:rPr>
                <w:rFonts w:ascii="微软雅黑" w:hAnsi="微软雅黑" w:eastAsia="微软雅黑"/>
                <w:kern w:val="0"/>
                <w:szCs w:val="21"/>
              </w:rPr>
            </w:pPr>
          </w:p>
        </w:tc>
        <w:tc>
          <w:tcPr>
            <w:tcW w:w="1219" w:type="dxa"/>
            <w:vAlign w:val="center"/>
          </w:tcPr>
          <w:p>
            <w:pPr>
              <w:widowControl/>
              <w:spacing w:line="440" w:lineRule="exact"/>
              <w:jc w:val="center"/>
              <w:rPr>
                <w:rFonts w:ascii="微软雅黑" w:hAnsi="微软雅黑" w:eastAsia="微软雅黑"/>
                <w:kern w:val="0"/>
                <w:szCs w:val="21"/>
              </w:rPr>
            </w:pPr>
          </w:p>
        </w:tc>
        <w:tc>
          <w:tcPr>
            <w:tcW w:w="1419" w:type="dxa"/>
          </w:tcPr>
          <w:p>
            <w:pPr>
              <w:widowControl/>
              <w:spacing w:line="440" w:lineRule="exact"/>
              <w:rPr>
                <w:rFonts w:ascii="微软雅黑" w:hAnsi="微软雅黑" w:eastAsia="微软雅黑"/>
                <w:kern w:val="0"/>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63"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2</w:t>
            </w:r>
          </w:p>
        </w:tc>
        <w:tc>
          <w:tcPr>
            <w:tcW w:w="1244"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技术标</w:t>
            </w:r>
          </w:p>
        </w:tc>
        <w:tc>
          <w:tcPr>
            <w:tcW w:w="1091"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lang w:val="en-US" w:eastAsia="zh-CN"/>
              </w:rPr>
              <w:t>4</w:t>
            </w:r>
            <w:r>
              <w:rPr>
                <w:rFonts w:hint="eastAsia" w:ascii="微软雅黑" w:hAnsi="微软雅黑" w:eastAsia="微软雅黑"/>
                <w:szCs w:val="21"/>
              </w:rPr>
              <w:t>0%</w:t>
            </w:r>
          </w:p>
        </w:tc>
        <w:tc>
          <w:tcPr>
            <w:tcW w:w="1194" w:type="dxa"/>
            <w:vAlign w:val="center"/>
          </w:tcPr>
          <w:p>
            <w:pPr>
              <w:tabs>
                <w:tab w:val="left" w:pos="5540"/>
              </w:tabs>
              <w:spacing w:line="440" w:lineRule="exact"/>
              <w:jc w:val="center"/>
              <w:rPr>
                <w:rFonts w:ascii="微软雅黑" w:hAnsi="微软雅黑" w:eastAsia="微软雅黑"/>
                <w:szCs w:val="21"/>
              </w:rPr>
            </w:pPr>
          </w:p>
        </w:tc>
        <w:tc>
          <w:tcPr>
            <w:tcW w:w="1219" w:type="dxa"/>
            <w:vAlign w:val="center"/>
          </w:tcPr>
          <w:p>
            <w:pPr>
              <w:tabs>
                <w:tab w:val="left" w:pos="5540"/>
              </w:tabs>
              <w:spacing w:line="440" w:lineRule="exact"/>
              <w:jc w:val="center"/>
              <w:rPr>
                <w:rFonts w:ascii="微软雅黑" w:hAnsi="微软雅黑" w:eastAsia="微软雅黑"/>
                <w:szCs w:val="21"/>
              </w:rPr>
            </w:pPr>
          </w:p>
        </w:tc>
        <w:tc>
          <w:tcPr>
            <w:tcW w:w="1419" w:type="dxa"/>
            <w:vAlign w:val="center"/>
          </w:tcPr>
          <w:p>
            <w:pPr>
              <w:tabs>
                <w:tab w:val="left" w:pos="5540"/>
              </w:tabs>
              <w:spacing w:line="440" w:lineRule="exact"/>
              <w:jc w:val="center"/>
              <w:rPr>
                <w:rFonts w:ascii="微软雅黑" w:hAnsi="微软雅黑" w:eastAsia="微软雅黑"/>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398" w:type="dxa"/>
            <w:gridSpan w:val="3"/>
            <w:tcBorders>
              <w:top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综合得分</w:t>
            </w:r>
          </w:p>
        </w:tc>
        <w:tc>
          <w:tcPr>
            <w:tcW w:w="1194" w:type="dxa"/>
            <w:vAlign w:val="center"/>
          </w:tcPr>
          <w:p>
            <w:pPr>
              <w:tabs>
                <w:tab w:val="left" w:pos="5540"/>
              </w:tabs>
              <w:spacing w:line="440" w:lineRule="exact"/>
              <w:jc w:val="center"/>
              <w:rPr>
                <w:rFonts w:ascii="微软雅黑" w:hAnsi="微软雅黑" w:eastAsia="微软雅黑"/>
                <w:szCs w:val="21"/>
              </w:rPr>
            </w:pPr>
          </w:p>
        </w:tc>
        <w:tc>
          <w:tcPr>
            <w:tcW w:w="1219" w:type="dxa"/>
            <w:vAlign w:val="center"/>
          </w:tcPr>
          <w:p>
            <w:pPr>
              <w:tabs>
                <w:tab w:val="left" w:pos="5540"/>
              </w:tabs>
              <w:spacing w:line="440" w:lineRule="exact"/>
              <w:jc w:val="center"/>
              <w:rPr>
                <w:rFonts w:ascii="微软雅黑" w:hAnsi="微软雅黑" w:eastAsia="微软雅黑"/>
                <w:szCs w:val="21"/>
              </w:rPr>
            </w:pPr>
          </w:p>
        </w:tc>
        <w:tc>
          <w:tcPr>
            <w:tcW w:w="1419" w:type="dxa"/>
            <w:vAlign w:val="center"/>
          </w:tcPr>
          <w:p>
            <w:pPr>
              <w:tabs>
                <w:tab w:val="left" w:pos="5540"/>
              </w:tabs>
              <w:spacing w:line="440" w:lineRule="exact"/>
              <w:jc w:val="center"/>
              <w:rPr>
                <w:rFonts w:ascii="微软雅黑" w:hAnsi="微软雅黑" w:eastAsia="微软雅黑"/>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3398" w:type="dxa"/>
            <w:gridSpan w:val="3"/>
            <w:tcBorders>
              <w:top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综合说明</w:t>
            </w:r>
          </w:p>
        </w:tc>
        <w:tc>
          <w:tcPr>
            <w:tcW w:w="6523" w:type="dxa"/>
            <w:gridSpan w:val="6"/>
            <w:vAlign w:val="center"/>
          </w:tcPr>
          <w:p>
            <w:pPr>
              <w:tabs>
                <w:tab w:val="left" w:pos="5540"/>
              </w:tabs>
              <w:spacing w:line="440" w:lineRule="exac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3398" w:type="dxa"/>
            <w:gridSpan w:val="3"/>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评委签字</w:t>
            </w:r>
          </w:p>
        </w:tc>
        <w:tc>
          <w:tcPr>
            <w:tcW w:w="6523" w:type="dxa"/>
            <w:gridSpan w:val="6"/>
            <w:vAlign w:val="center"/>
          </w:tcPr>
          <w:p>
            <w:pPr>
              <w:tabs>
                <w:tab w:val="left" w:pos="5540"/>
              </w:tabs>
              <w:spacing w:line="440" w:lineRule="exact"/>
              <w:rPr>
                <w:rFonts w:ascii="微软雅黑" w:hAnsi="微软雅黑" w:eastAsia="微软雅黑"/>
                <w:szCs w:val="21"/>
              </w:rPr>
            </w:pPr>
          </w:p>
        </w:tc>
      </w:tr>
    </w:tbl>
    <w:p>
      <w:pPr>
        <w:spacing w:line="440" w:lineRule="exact"/>
        <w:jc w:val="left"/>
        <w:rPr>
          <w:rFonts w:ascii="微软雅黑" w:hAnsi="微软雅黑" w:eastAsia="微软雅黑"/>
          <w:szCs w:val="21"/>
        </w:rPr>
      </w:pPr>
    </w:p>
    <w:p>
      <w:pPr>
        <w:widowControl/>
        <w:jc w:val="left"/>
        <w:rPr>
          <w:rFonts w:ascii="微软雅黑" w:hAnsi="微软雅黑" w:eastAsia="微软雅黑"/>
          <w:b/>
          <w:bCs/>
          <w:kern w:val="44"/>
          <w:sz w:val="44"/>
          <w:szCs w:val="44"/>
        </w:rPr>
      </w:pPr>
      <w:bookmarkStart w:id="15" w:name="_Toc433977791"/>
      <w:bookmarkStart w:id="16" w:name="_Toc430945057"/>
      <w:bookmarkStart w:id="17" w:name="_Toc298237717"/>
      <w:r>
        <w:rPr>
          <w:rFonts w:ascii="微软雅黑" w:hAnsi="微软雅黑" w:eastAsia="微软雅黑"/>
        </w:rPr>
        <w:br w:type="page"/>
      </w:r>
    </w:p>
    <w:p>
      <w:pPr>
        <w:pStyle w:val="3"/>
        <w:jc w:val="center"/>
        <w:rPr>
          <w:rFonts w:ascii="微软雅黑" w:hAnsi="微软雅黑" w:eastAsia="微软雅黑"/>
        </w:rPr>
      </w:pPr>
      <w:bookmarkStart w:id="18" w:name="_Toc30511"/>
      <w:r>
        <w:rPr>
          <w:rFonts w:hint="eastAsia" w:ascii="微软雅黑" w:hAnsi="微软雅黑" w:eastAsia="微软雅黑"/>
        </w:rPr>
        <w:t>第三部分：合同专用条款</w:t>
      </w:r>
      <w:bookmarkEnd w:id="15"/>
      <w:bookmarkEnd w:id="16"/>
      <w:bookmarkEnd w:id="18"/>
    </w:p>
    <w:tbl>
      <w:tblPr>
        <w:tblStyle w:val="32"/>
        <w:tblW w:w="922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78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353" w:type="dxa"/>
            <w:vAlign w:val="center"/>
          </w:tcPr>
          <w:p>
            <w:pPr>
              <w:spacing w:before="120" w:after="120"/>
              <w:jc w:val="center"/>
              <w:rPr>
                <w:rFonts w:ascii="微软雅黑" w:hAnsi="微软雅黑" w:eastAsia="微软雅黑"/>
                <w:b/>
                <w:sz w:val="20"/>
                <w:szCs w:val="20"/>
              </w:rPr>
            </w:pPr>
            <w:r>
              <w:rPr>
                <w:rFonts w:hint="eastAsia" w:ascii="微软雅黑" w:hAnsi="微软雅黑" w:eastAsia="微软雅黑"/>
                <w:b/>
                <w:sz w:val="20"/>
                <w:szCs w:val="20"/>
              </w:rPr>
              <w:t>条款号</w:t>
            </w:r>
          </w:p>
        </w:tc>
        <w:tc>
          <w:tcPr>
            <w:tcW w:w="7873" w:type="dxa"/>
          </w:tcPr>
          <w:p>
            <w:pPr>
              <w:spacing w:before="120" w:after="120"/>
              <w:jc w:val="center"/>
              <w:rPr>
                <w:rFonts w:ascii="微软雅黑" w:hAnsi="微软雅黑" w:eastAsia="微软雅黑"/>
                <w:b/>
                <w:sz w:val="20"/>
                <w:szCs w:val="20"/>
              </w:rPr>
            </w:pPr>
            <w:r>
              <w:rPr>
                <w:rFonts w:hint="eastAsia" w:ascii="微软雅黑" w:hAnsi="微软雅黑" w:eastAsia="微软雅黑"/>
                <w:b/>
                <w:sz w:val="20"/>
                <w:szCs w:val="20"/>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4" w:hRule="atLeast"/>
          <w:jc w:val="center"/>
        </w:trPr>
        <w:tc>
          <w:tcPr>
            <w:tcW w:w="1353" w:type="dxa"/>
            <w:vAlign w:val="center"/>
          </w:tcPr>
          <w:p>
            <w:pPr>
              <w:jc w:val="center"/>
              <w:rPr>
                <w:rFonts w:ascii="微软雅黑" w:hAnsi="微软雅黑" w:eastAsia="微软雅黑"/>
                <w:sz w:val="20"/>
                <w:szCs w:val="20"/>
              </w:rPr>
            </w:pPr>
            <w:r>
              <w:rPr>
                <w:rFonts w:hint="eastAsia" w:ascii="微软雅黑" w:hAnsi="微软雅黑" w:eastAsia="微软雅黑"/>
                <w:sz w:val="20"/>
                <w:szCs w:val="20"/>
              </w:rPr>
              <w:t>1</w:t>
            </w:r>
          </w:p>
        </w:tc>
        <w:tc>
          <w:tcPr>
            <w:tcW w:w="7873" w:type="dxa"/>
          </w:tcPr>
          <w:p>
            <w:pPr>
              <w:snapToGrid/>
              <w:spacing w:before="120" w:after="120" w:line="240" w:lineRule="auto"/>
              <w:jc w:val="center"/>
              <w:rPr>
                <w:rFonts w:hint="eastAsia"/>
              </w:rPr>
            </w:pPr>
            <w:r>
              <w:rPr>
                <w:rFonts w:hint="eastAsia"/>
              </w:rPr>
              <w:t>付款条件：</w:t>
            </w:r>
          </w:p>
          <w:p>
            <w:pPr>
              <w:tabs>
                <w:tab w:val="left" w:pos="840"/>
                <w:tab w:val="left" w:pos="1140"/>
              </w:tabs>
              <w:snapToGrid w:val="0"/>
              <w:spacing w:line="360" w:lineRule="auto"/>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1. 合同正式签订后，完成所有设备上架、安装配置后一个月内，</w:t>
            </w:r>
            <w:r>
              <w:rPr>
                <w:rFonts w:hint="eastAsia" w:ascii="微软雅黑" w:hAnsi="微软雅黑" w:eastAsia="微软雅黑" w:cs="Times New Roman"/>
                <w:b/>
                <w:color w:val="000000"/>
                <w:sz w:val="20"/>
                <w:szCs w:val="20"/>
                <w:lang w:val="en-US" w:eastAsia="zh-CN"/>
              </w:rPr>
              <w:t>乙方提交所供设备的</w:t>
            </w:r>
            <w:r>
              <w:rPr>
                <w:rFonts w:hint="eastAsia" w:ascii="微软雅黑" w:hAnsi="微软雅黑" w:eastAsia="微软雅黑" w:cs="Times New Roman"/>
                <w:b/>
                <w:color w:val="FF0000"/>
                <w:sz w:val="20"/>
                <w:szCs w:val="20"/>
                <w:lang w:val="en-US" w:eastAsia="zh-CN"/>
              </w:rPr>
              <w:t>原厂</w:t>
            </w:r>
            <w:r>
              <w:rPr>
                <w:rFonts w:hint="eastAsia" w:ascii="微软雅黑" w:hAnsi="微软雅黑" w:eastAsia="微软雅黑" w:cs="Times New Roman"/>
                <w:b/>
                <w:color w:val="000000"/>
                <w:sz w:val="20"/>
                <w:szCs w:val="20"/>
                <w:lang w:val="en-US" w:eastAsia="zh-CN"/>
              </w:rPr>
              <w:t>服务开通函，</w:t>
            </w:r>
            <w:r>
              <w:rPr>
                <w:rFonts w:hint="eastAsia" w:ascii="微软雅黑" w:hAnsi="微软雅黑" w:eastAsia="微软雅黑" w:cs="Times New Roman"/>
                <w:b/>
                <w:color w:val="000000"/>
                <w:sz w:val="20"/>
                <w:szCs w:val="20"/>
              </w:rPr>
              <w:t>甲方验收通过后向乙方支付合同总金额的95%。</w:t>
            </w:r>
          </w:p>
          <w:p>
            <w:pPr>
              <w:tabs>
                <w:tab w:val="left" w:pos="840"/>
                <w:tab w:val="left" w:pos="1140"/>
              </w:tabs>
              <w:snapToGrid w:val="0"/>
              <w:spacing w:line="360" w:lineRule="auto"/>
              <w:rPr>
                <w:rFonts w:hint="eastAsia" w:ascii="微软雅黑" w:hAnsi="微软雅黑" w:eastAsia="微软雅黑" w:cs="Times New Roman"/>
                <w:b/>
                <w:color w:val="000000"/>
                <w:sz w:val="20"/>
                <w:szCs w:val="20"/>
              </w:rPr>
            </w:pPr>
            <w:r>
              <w:rPr>
                <w:rFonts w:hint="eastAsia" w:ascii="微软雅黑" w:hAnsi="微软雅黑" w:eastAsia="微软雅黑" w:cs="Times New Roman"/>
                <w:b/>
                <w:color w:val="000000"/>
                <w:sz w:val="20"/>
                <w:szCs w:val="20"/>
              </w:rPr>
              <w:t>2. 设备稳定运行1年，且通过甲方阶段验收后，15个工作日内，甲方向乙方支付合同额的5%。</w:t>
            </w:r>
          </w:p>
          <w:p>
            <w:pPr>
              <w:pStyle w:val="2"/>
              <w:ind w:left="0" w:leftChars="0" w:firstLine="0" w:firstLineChars="0"/>
            </w:pPr>
            <w:r>
              <w:rPr>
                <w:rFonts w:hint="eastAsia" w:ascii="微软雅黑" w:hAnsi="微软雅黑" w:eastAsia="微软雅黑" w:cs="Times New Roman"/>
                <w:b/>
                <w:color w:val="000000"/>
                <w:sz w:val="20"/>
                <w:szCs w:val="20"/>
              </w:rPr>
              <w:t>3. 乙方应在甲方第一次付款前，提前15个工作日提供合同全额正规发票，每次付款时需提供加盖单位公章的相应金额付款申请函。</w:t>
            </w:r>
          </w:p>
        </w:tc>
      </w:tr>
    </w:tbl>
    <w:p>
      <w:pPr>
        <w:spacing w:line="440" w:lineRule="exact"/>
        <w:jc w:val="left"/>
        <w:rPr>
          <w:rFonts w:ascii="微软雅黑" w:hAnsi="微软雅黑" w:eastAsia="微软雅黑"/>
          <w:szCs w:val="21"/>
        </w:rPr>
      </w:pPr>
    </w:p>
    <w:p>
      <w:pPr>
        <w:widowControl/>
        <w:jc w:val="left"/>
        <w:rPr>
          <w:rFonts w:ascii="微软雅黑" w:hAnsi="微软雅黑" w:eastAsia="微软雅黑"/>
          <w:b/>
          <w:bCs/>
          <w:kern w:val="44"/>
          <w:sz w:val="44"/>
          <w:szCs w:val="44"/>
        </w:rPr>
      </w:pPr>
      <w:r>
        <w:rPr>
          <w:rFonts w:ascii="微软雅黑" w:hAnsi="微软雅黑" w:eastAsia="微软雅黑"/>
        </w:rPr>
        <w:br w:type="page"/>
      </w:r>
    </w:p>
    <w:p>
      <w:pPr>
        <w:pStyle w:val="3"/>
        <w:spacing w:line="480" w:lineRule="auto"/>
        <w:jc w:val="center"/>
        <w:rPr>
          <w:rFonts w:ascii="微软雅黑" w:hAnsi="微软雅黑" w:eastAsia="微软雅黑"/>
        </w:rPr>
      </w:pPr>
      <w:bookmarkStart w:id="19" w:name="_Toc31695"/>
      <w:r>
        <w:rPr>
          <w:rFonts w:hint="eastAsia" w:ascii="微软雅黑" w:hAnsi="微软雅黑" w:eastAsia="微软雅黑"/>
        </w:rPr>
        <w:t>第四部分：项目技术标准</w:t>
      </w:r>
      <w:bookmarkEnd w:id="17"/>
      <w:bookmarkEnd w:id="19"/>
    </w:p>
    <w:p>
      <w:pPr>
        <w:pStyle w:val="24"/>
        <w:numPr>
          <w:ilvl w:val="0"/>
          <w:numId w:val="13"/>
        </w:numPr>
        <w:jc w:val="left"/>
        <w:rPr>
          <w:rFonts w:ascii="微软雅黑" w:hAnsi="微软雅黑" w:eastAsia="微软雅黑"/>
        </w:rPr>
      </w:pPr>
      <w:bookmarkStart w:id="20" w:name="_Toc15140"/>
      <w:r>
        <w:rPr>
          <w:rFonts w:hint="eastAsia" w:ascii="微软雅黑" w:hAnsi="微软雅黑" w:eastAsia="微软雅黑"/>
        </w:rPr>
        <w:t>项目背景</w:t>
      </w:r>
      <w:bookmarkEnd w:id="20"/>
    </w:p>
    <w:p>
      <w:pPr>
        <w:pStyle w:val="38"/>
        <w:spacing w:line="360" w:lineRule="auto"/>
        <w:ind w:left="360"/>
        <w:rPr>
          <w:rFonts w:hint="default" w:ascii="微软雅黑" w:hAnsi="微软雅黑" w:eastAsia="微软雅黑"/>
          <w:szCs w:val="20"/>
          <w:lang w:val="en-US" w:eastAsia="zh-CN"/>
        </w:rPr>
      </w:pPr>
      <w:r>
        <w:rPr>
          <w:rFonts w:hint="eastAsia" w:ascii="微软雅黑" w:hAnsi="微软雅黑" w:eastAsia="微软雅黑" w:cs="Times New Roman"/>
          <w:szCs w:val="20"/>
          <w:lang w:val="en-US" w:eastAsia="zh-CN"/>
        </w:rPr>
        <w:t>1.廊坊银行数字化转型决策领导小组会议听取和讨论决策了互联网供应链系统建设方案，同意新建供应链金融管理系统，并就系统建设提出要求，要求金融科技部加快推进供应链金融系统建设进程，同意供应链金融系统建设费用及预算</w:t>
      </w:r>
    </w:p>
    <w:p>
      <w:pPr>
        <w:adjustRightInd w:val="0"/>
        <w:snapToGrid w:val="0"/>
        <w:spacing w:line="440" w:lineRule="exact"/>
        <w:ind w:firstLine="397"/>
        <w:jc w:val="left"/>
        <w:rPr>
          <w:rFonts w:hint="eastAsia" w:ascii="微软雅黑" w:hAnsi="微软雅黑" w:eastAsia="微软雅黑" w:cs="Times New Roman"/>
          <w:color w:val="000000"/>
          <w:sz w:val="20"/>
          <w:szCs w:val="20"/>
          <w:lang w:eastAsia="zh-CN"/>
        </w:rPr>
      </w:pPr>
      <w:r>
        <w:rPr>
          <w:rFonts w:hint="eastAsia" w:ascii="微软雅黑" w:hAnsi="微软雅黑" w:eastAsia="微软雅黑" w:cs="Times New Roman"/>
          <w:szCs w:val="20"/>
          <w:lang w:eastAsia="zh-CN"/>
        </w:rPr>
        <w:t>2.供应链金融管理系统需要增加网银区专线，网银区专线增加后现有设备接口不足，同时设备使用年限已到，需要采购新的WAF和IPS设备的扩容板卡2块，其中2台WAF老旧设备以旧换新。</w:t>
      </w:r>
      <w:r>
        <w:rPr>
          <w:rFonts w:hint="eastAsia" w:ascii="微软雅黑" w:hAnsi="微软雅黑" w:eastAsia="微软雅黑" w:cs="Times New Roman"/>
          <w:color w:val="000000"/>
          <w:sz w:val="20"/>
          <w:szCs w:val="20"/>
          <w:lang w:eastAsia="zh-CN"/>
        </w:rPr>
        <w:t xml:space="preserve"> </w:t>
      </w:r>
    </w:p>
    <w:p>
      <w:pPr>
        <w:pStyle w:val="24"/>
        <w:numPr>
          <w:ilvl w:val="0"/>
          <w:numId w:val="13"/>
        </w:numPr>
        <w:tabs>
          <w:tab w:val="center" w:pos="426"/>
        </w:tabs>
        <w:jc w:val="left"/>
        <w:rPr>
          <w:rFonts w:ascii="微软雅黑" w:hAnsi="微软雅黑" w:eastAsia="微软雅黑"/>
        </w:rPr>
      </w:pPr>
      <w:bookmarkStart w:id="21" w:name="_Toc12604"/>
      <w:bookmarkStart w:id="22" w:name="_Toc421525471"/>
      <w:bookmarkStart w:id="23" w:name="_Toc444514000"/>
      <w:r>
        <w:rPr>
          <w:rFonts w:hint="eastAsia" w:ascii="微软雅黑" w:hAnsi="微软雅黑" w:eastAsia="微软雅黑"/>
        </w:rPr>
        <w:t>设备集成要求</w:t>
      </w:r>
      <w:bookmarkEnd w:id="21"/>
      <w:bookmarkEnd w:id="22"/>
      <w:bookmarkEnd w:id="23"/>
    </w:p>
    <w:p>
      <w:pPr>
        <w:spacing w:line="360" w:lineRule="auto"/>
        <w:ind w:firstLine="420"/>
        <w:rPr>
          <w:rFonts w:ascii="Times New Roman" w:hAnsi="Times New Roman"/>
          <w:kern w:val="0"/>
          <w:sz w:val="20"/>
          <w:szCs w:val="20"/>
        </w:rPr>
      </w:pPr>
      <w:r>
        <w:rPr>
          <w:rFonts w:hint="eastAsia" w:ascii="微软雅黑" w:hAnsi="微软雅黑" w:eastAsia="微软雅黑"/>
          <w:sz w:val="20"/>
          <w:szCs w:val="20"/>
        </w:rPr>
        <w:t>本次项目计划采购清单如下：</w:t>
      </w:r>
      <w:r>
        <w:fldChar w:fldCharType="begin"/>
      </w:r>
      <w:r>
        <w:instrText xml:space="preserve"> LINK Excel.Sheet.12</w:instrText>
      </w:r>
      <w:r>
        <w:rPr>
          <w:rFonts w:hint="eastAsia"/>
        </w:rPr>
        <w:instrText xml:space="preserve"> D:\\LCCB\\2020年立项\\2020-list.xlsx</w:instrText>
      </w:r>
      <w:r>
        <w:instrText xml:space="preserve"> Sheet1!R1C1:R32C5 \a \f 4 \h  \* MERGEFORMAT </w:instrText>
      </w:r>
      <w:r>
        <w:fldChar w:fldCharType="separate"/>
      </w:r>
    </w:p>
    <w:tbl>
      <w:tblPr>
        <w:tblStyle w:val="32"/>
        <w:tblW w:w="10379" w:type="dxa"/>
        <w:tblInd w:w="93" w:type="dxa"/>
        <w:shd w:val="clear" w:color="auto" w:fill="auto"/>
        <w:tblLayout w:type="fixed"/>
        <w:tblCellMar>
          <w:top w:w="0" w:type="dxa"/>
          <w:left w:w="108" w:type="dxa"/>
          <w:bottom w:w="0" w:type="dxa"/>
          <w:right w:w="108" w:type="dxa"/>
        </w:tblCellMar>
      </w:tblPr>
      <w:tblGrid>
        <w:gridCol w:w="722"/>
        <w:gridCol w:w="1662"/>
        <w:gridCol w:w="2988"/>
        <w:gridCol w:w="4396"/>
        <w:gridCol w:w="611"/>
      </w:tblGrid>
      <w:tr>
        <w:tblPrEx>
          <w:shd w:val="clear" w:color="auto" w:fill="auto"/>
          <w:tblLayout w:type="fixed"/>
          <w:tblCellMar>
            <w:top w:w="0" w:type="dxa"/>
            <w:left w:w="108" w:type="dxa"/>
            <w:bottom w:w="0" w:type="dxa"/>
            <w:right w:w="108" w:type="dxa"/>
          </w:tblCellMar>
        </w:tblPrEx>
        <w:trPr>
          <w:trHeight w:val="330" w:hRule="atLeast"/>
        </w:trPr>
        <w:tc>
          <w:tcPr>
            <w:tcW w:w="72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序号</w:t>
            </w:r>
          </w:p>
        </w:tc>
        <w:tc>
          <w:tcPr>
            <w:tcW w:w="166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名称</w:t>
            </w:r>
          </w:p>
        </w:tc>
        <w:tc>
          <w:tcPr>
            <w:tcW w:w="29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型号</w:t>
            </w:r>
          </w:p>
        </w:tc>
        <w:tc>
          <w:tcPr>
            <w:tcW w:w="439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设备规格(单台）</w:t>
            </w:r>
          </w:p>
        </w:tc>
        <w:tc>
          <w:tcPr>
            <w:tcW w:w="61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数量</w:t>
            </w:r>
          </w:p>
        </w:tc>
      </w:tr>
      <w:tr>
        <w:tblPrEx>
          <w:shd w:val="clear" w:color="auto" w:fill="auto"/>
          <w:tblLayout w:type="fixed"/>
          <w:tblCellMar>
            <w:top w:w="0" w:type="dxa"/>
            <w:left w:w="108" w:type="dxa"/>
            <w:bottom w:w="0" w:type="dxa"/>
            <w:right w:w="108" w:type="dxa"/>
          </w:tblCellMar>
        </w:tblPrEx>
        <w:trPr>
          <w:trHeight w:val="12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default"/>
                <w:lang w:val="en-US" w:eastAsia="zh-CN"/>
              </w:rPr>
              <w:t>WEB应用防护系统（WAF）</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绿盟WAFNX3-HD1600</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2U，含交流几余电源模块，2个USB接口，1个RJ45串口，2个GE管理口，4个GE电口 (含2路bypass)，4个千兆光口 (满配光模块)，2个接口扩展槽位，1T 硬盘设备应用层吞吐: 3Gbps，提供一年WEB应用防护规则库升级授权;提供上门产品安装调试，一年产品系统升级、产品保修服务、远程支持服务</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w:t>
            </w:r>
          </w:p>
        </w:tc>
      </w:tr>
      <w:tr>
        <w:tblPrEx>
          <w:tblLayout w:type="fixed"/>
          <w:tblCellMar>
            <w:top w:w="0" w:type="dxa"/>
            <w:left w:w="108" w:type="dxa"/>
            <w:bottom w:w="0" w:type="dxa"/>
            <w:right w:w="108" w:type="dxa"/>
          </w:tblCellMar>
        </w:tblPrEx>
        <w:trPr>
          <w:trHeight w:val="12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入侵防御系统（IPS）扩容板卡</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NGIPS-B-8GE</w:t>
            </w:r>
          </w:p>
        </w:tc>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8个千兆电口(4对Bypass)板卡</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r>
    </w:tbl>
    <w:p/>
    <w:p>
      <w:pPr>
        <w:rPr>
          <w:rFonts w:ascii="Times New Roman" w:hAnsi="Times New Roman"/>
          <w:kern w:val="0"/>
          <w:sz w:val="20"/>
          <w:szCs w:val="20"/>
        </w:rPr>
      </w:pPr>
      <w:r>
        <w:fldChar w:fldCharType="begin"/>
      </w:r>
      <w:r>
        <w:instrText xml:space="preserve"> LINK Excel.Sheet.12</w:instrText>
      </w:r>
      <w:r>
        <w:rPr>
          <w:rFonts w:hint="eastAsia"/>
        </w:rPr>
        <w:instrText xml:space="preserve"> D:\\LCCB\\2020年立项\\分支行外联\\2020-list分支行外联.xlsx 集成!R1C1:R22C5 </w:instrText>
      </w:r>
      <w:r>
        <w:instrText xml:space="preserve">\a \f 4 \h  \* MERGEFORMAT </w:instrText>
      </w:r>
      <w:r>
        <w:fldChar w:fldCharType="separate"/>
      </w:r>
    </w:p>
    <w:tbl>
      <w:tblPr>
        <w:tblStyle w:val="32"/>
        <w:tblW w:w="10198" w:type="dxa"/>
        <w:tblInd w:w="0" w:type="dxa"/>
        <w:tblLayout w:type="fixed"/>
        <w:tblCellMar>
          <w:top w:w="0" w:type="dxa"/>
          <w:left w:w="108" w:type="dxa"/>
          <w:bottom w:w="0" w:type="dxa"/>
          <w:right w:w="108" w:type="dxa"/>
        </w:tblCellMar>
      </w:tblPr>
      <w:tblGrid>
        <w:gridCol w:w="10198"/>
      </w:tblGrid>
      <w:tr>
        <w:tblPrEx>
          <w:tblLayout w:type="fixed"/>
          <w:tblCellMar>
            <w:top w:w="0" w:type="dxa"/>
            <w:left w:w="108" w:type="dxa"/>
            <w:bottom w:w="0" w:type="dxa"/>
            <w:right w:w="108" w:type="dxa"/>
          </w:tblCellMar>
        </w:tblPrEx>
        <w:trPr>
          <w:trHeight w:val="330" w:hRule="atLeast"/>
        </w:trPr>
        <w:tc>
          <w:tcPr>
            <w:tcW w:w="10198" w:type="dxa"/>
            <w:tcBorders>
              <w:top w:val="nil"/>
              <w:left w:val="nil"/>
              <w:bottom w:val="nil"/>
              <w:right w:val="nil"/>
            </w:tcBorders>
            <w:shd w:val="clear" w:color="auto" w:fill="auto"/>
            <w:vAlign w:val="center"/>
          </w:tcPr>
          <w:p>
            <w:pPr>
              <w:widowControl/>
              <w:jc w:val="center"/>
              <w:rPr>
                <w:rFonts w:ascii="微软雅黑" w:hAnsi="微软雅黑" w:eastAsia="微软雅黑" w:cs="宋体"/>
                <w:kern w:val="0"/>
                <w:szCs w:val="21"/>
              </w:rPr>
            </w:pPr>
          </w:p>
        </w:tc>
      </w:tr>
      <w:tr>
        <w:tblPrEx>
          <w:tblLayout w:type="fixed"/>
          <w:tblCellMar>
            <w:top w:w="0" w:type="dxa"/>
            <w:left w:w="108" w:type="dxa"/>
            <w:bottom w:w="0" w:type="dxa"/>
            <w:right w:w="108" w:type="dxa"/>
          </w:tblCellMar>
        </w:tblPrEx>
        <w:trPr>
          <w:trHeight w:val="330" w:hRule="atLeast"/>
        </w:trPr>
        <w:tc>
          <w:tcPr>
            <w:tcW w:w="10198" w:type="dxa"/>
            <w:tcBorders>
              <w:top w:val="nil"/>
              <w:left w:val="nil"/>
              <w:bottom w:val="nil"/>
              <w:right w:val="nil"/>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注:</w:t>
            </w:r>
          </w:p>
        </w:tc>
      </w:tr>
      <w:tr>
        <w:tblPrEx>
          <w:tblLayout w:type="fixed"/>
          <w:tblCellMar>
            <w:top w:w="0" w:type="dxa"/>
            <w:left w:w="108" w:type="dxa"/>
            <w:bottom w:w="0" w:type="dxa"/>
            <w:right w:w="108" w:type="dxa"/>
          </w:tblCellMar>
        </w:tblPrEx>
        <w:trPr>
          <w:trHeight w:val="300" w:hRule="atLeast"/>
        </w:trPr>
        <w:tc>
          <w:tcPr>
            <w:tcW w:w="10198" w:type="dxa"/>
            <w:tcBorders>
              <w:top w:val="nil"/>
              <w:left w:val="nil"/>
              <w:bottom w:val="nil"/>
              <w:right w:val="nil"/>
            </w:tcBorders>
            <w:shd w:val="clear" w:color="auto" w:fill="auto"/>
            <w:vAlign w:val="center"/>
          </w:tcPr>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1</w:t>
            </w:r>
            <w:r>
              <w:rPr>
                <w:rFonts w:hint="eastAsia" w:ascii="微软雅黑" w:hAnsi="微软雅黑" w:eastAsia="微软雅黑" w:cs="Times New Roman"/>
                <w:color w:val="000000"/>
                <w:sz w:val="20"/>
                <w:szCs w:val="20"/>
              </w:rPr>
              <w:t>)中标方提供所有设备的7*24小时2小时上门服务，提供全部设备整体方案设计和实施，提供集成所需全部线缆、模块。</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2</w:t>
            </w:r>
            <w:r>
              <w:rPr>
                <w:rFonts w:hint="eastAsia" w:ascii="微软雅黑" w:hAnsi="微软雅黑" w:eastAsia="微软雅黑" w:cs="Times New Roman"/>
                <w:color w:val="000000"/>
                <w:sz w:val="20"/>
                <w:szCs w:val="20"/>
              </w:rPr>
              <w:t>)电源线需选用</w:t>
            </w:r>
            <w:r>
              <w:rPr>
                <w:rFonts w:hint="eastAsia" w:ascii="微软雅黑" w:hAnsi="微软雅黑" w:eastAsia="微软雅黑" w:cs="Times New Roman"/>
                <w:color w:val="000000"/>
                <w:sz w:val="20"/>
                <w:szCs w:val="20"/>
                <w:lang w:eastAsia="zh-CN"/>
              </w:rPr>
              <w:t>国</w:t>
            </w:r>
            <w:r>
              <w:rPr>
                <w:rFonts w:hint="eastAsia" w:ascii="微软雅黑" w:hAnsi="微软雅黑" w:eastAsia="微软雅黑" w:cs="Times New Roman"/>
                <w:color w:val="000000"/>
                <w:sz w:val="20"/>
                <w:szCs w:val="20"/>
              </w:rPr>
              <w:t>标插头。</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3</w:t>
            </w:r>
            <w:r>
              <w:rPr>
                <w:rFonts w:hint="eastAsia" w:ascii="微软雅黑" w:hAnsi="微软雅黑" w:eastAsia="微软雅黑" w:cs="Times New Roman"/>
                <w:color w:val="000000"/>
                <w:sz w:val="20"/>
                <w:szCs w:val="20"/>
              </w:rPr>
              <w:t>)根据项目计划，中标人通过派驻中标公司的合格技术人员的方式，按甲方要求出具设计详细方案，进行设备整体集成（上架、加电、配置、布线、配合与现有设备的连接与调试）、完成应用从原有设备的拆分、迁移，完成招标人赋予的职责与任务，保证项目各阶段工作能够按计划完成，同时配合甲方邀请的第三方安全公司评估工作。</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4</w:t>
            </w:r>
            <w:r>
              <w:rPr>
                <w:rFonts w:hint="eastAsia" w:ascii="微软雅黑" w:hAnsi="微软雅黑" w:eastAsia="微软雅黑" w:cs="Times New Roman"/>
                <w:color w:val="000000"/>
                <w:sz w:val="20"/>
                <w:szCs w:val="20"/>
              </w:rPr>
              <w:t>)根据廊坊银行的项目计划，中标人通过派驻合格技术人员的方式按甲方要求进行设备安装、调试等工作，完成招标人赋予的职责与任务，保证项目各阶段工作能够按计划完成。</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5</w:t>
            </w:r>
            <w:r>
              <w:rPr>
                <w:rFonts w:hint="eastAsia" w:ascii="微软雅黑" w:hAnsi="微软雅黑" w:eastAsia="微软雅黑" w:cs="Times New Roman"/>
                <w:color w:val="000000"/>
                <w:sz w:val="20"/>
                <w:szCs w:val="20"/>
              </w:rPr>
              <w:t>)此次所购设备都要以廊坊银行股份有限公司的名义下单。</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6</w:t>
            </w:r>
            <w:r>
              <w:rPr>
                <w:rFonts w:hint="eastAsia" w:ascii="微软雅黑" w:hAnsi="微软雅黑" w:eastAsia="微软雅黑" w:cs="Times New Roman"/>
                <w:color w:val="000000"/>
                <w:sz w:val="20"/>
                <w:szCs w:val="20"/>
              </w:rPr>
              <w:t>)设备要求原厂直发招标人，不允许存在中间环节。</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7</w:t>
            </w:r>
            <w:r>
              <w:rPr>
                <w:rFonts w:hint="eastAsia" w:ascii="微软雅黑" w:hAnsi="微软雅黑" w:eastAsia="微软雅黑" w:cs="Times New Roman"/>
                <w:color w:val="000000"/>
                <w:sz w:val="20"/>
                <w:szCs w:val="20"/>
              </w:rPr>
              <w:t>)采购的设备必须是来自原厂家正规途径全新设备，且未曾启用过，可通过原厂授权。（验收时招标方和中标方一起通过电话等措施进行原厂验证）。</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8</w:t>
            </w:r>
            <w:r>
              <w:rPr>
                <w:rFonts w:hint="eastAsia" w:ascii="微软雅黑" w:hAnsi="微软雅黑" w:eastAsia="微软雅黑" w:cs="Times New Roman"/>
                <w:color w:val="000000"/>
                <w:sz w:val="20"/>
                <w:szCs w:val="20"/>
              </w:rPr>
              <w:t>)设备到货后验收时提供所有设备在其官方网站查询信息（配件信息、保修期、客户名称等）。</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w:t>
            </w:r>
            <w:r>
              <w:rPr>
                <w:rFonts w:hint="eastAsia" w:ascii="微软雅黑" w:hAnsi="微软雅黑" w:eastAsia="微软雅黑" w:cs="Times New Roman"/>
                <w:color w:val="000000"/>
                <w:sz w:val="20"/>
                <w:szCs w:val="20"/>
                <w:lang w:val="en-US" w:eastAsia="zh-CN"/>
              </w:rPr>
              <w:t>9</w:t>
            </w:r>
            <w:r>
              <w:rPr>
                <w:rFonts w:hint="eastAsia" w:ascii="微软雅黑" w:hAnsi="微软雅黑" w:eastAsia="微软雅黑" w:cs="Times New Roman"/>
                <w:color w:val="000000"/>
                <w:sz w:val="20"/>
                <w:szCs w:val="20"/>
              </w:rPr>
              <w:t>)提供集成所需要全部线缆、设备模块等，保证网络</w:t>
            </w:r>
            <w:r>
              <w:rPr>
                <w:rFonts w:hint="eastAsia" w:ascii="微软雅黑" w:hAnsi="微软雅黑" w:eastAsia="微软雅黑" w:cs="Times New Roman"/>
                <w:color w:val="000000"/>
                <w:sz w:val="20"/>
                <w:szCs w:val="20"/>
                <w:lang w:eastAsia="zh-CN"/>
              </w:rPr>
              <w:t>架构</w:t>
            </w:r>
            <w:r>
              <w:rPr>
                <w:rFonts w:hint="eastAsia" w:ascii="微软雅黑" w:hAnsi="微软雅黑" w:eastAsia="微软雅黑" w:cs="Times New Roman"/>
                <w:color w:val="000000"/>
                <w:sz w:val="20"/>
                <w:szCs w:val="20"/>
              </w:rPr>
              <w:t>能够整体集成</w:t>
            </w:r>
            <w:r>
              <w:rPr>
                <w:rFonts w:hint="eastAsia" w:ascii="微软雅黑" w:hAnsi="微软雅黑" w:eastAsia="微软雅黑" w:cs="Times New Roman"/>
                <w:color w:val="000000"/>
                <w:sz w:val="20"/>
                <w:szCs w:val="20"/>
                <w:lang w:eastAsia="zh-CN"/>
              </w:rPr>
              <w:t>部署</w:t>
            </w:r>
            <w:r>
              <w:rPr>
                <w:rFonts w:hint="eastAsia" w:ascii="微软雅黑" w:hAnsi="微软雅黑" w:eastAsia="微软雅黑" w:cs="Times New Roman"/>
                <w:color w:val="000000"/>
                <w:sz w:val="20"/>
                <w:szCs w:val="20"/>
              </w:rPr>
              <w:t>。</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(1</w:t>
            </w:r>
            <w:r>
              <w:rPr>
                <w:rFonts w:hint="eastAsia" w:ascii="微软雅黑" w:hAnsi="微软雅黑" w:eastAsia="微软雅黑" w:cs="Times New Roman"/>
                <w:color w:val="000000"/>
                <w:sz w:val="20"/>
                <w:szCs w:val="20"/>
                <w:lang w:val="en-US" w:eastAsia="zh-CN"/>
              </w:rPr>
              <w:t>0</w:t>
            </w:r>
            <w:r>
              <w:rPr>
                <w:rFonts w:hint="eastAsia" w:ascii="微软雅黑" w:hAnsi="微软雅黑" w:eastAsia="微软雅黑" w:cs="Times New Roman"/>
                <w:color w:val="000000"/>
                <w:sz w:val="20"/>
                <w:szCs w:val="20"/>
              </w:rPr>
              <w:t>)中标人布线</w:t>
            </w:r>
            <w:r>
              <w:rPr>
                <w:rFonts w:hint="eastAsia" w:ascii="微软雅黑" w:hAnsi="微软雅黑" w:eastAsia="微软雅黑" w:cs="Times New Roman"/>
                <w:color w:val="000000"/>
                <w:sz w:val="20"/>
                <w:szCs w:val="20"/>
                <w:lang w:val="en-US" w:eastAsia="zh-CN"/>
              </w:rPr>
              <w:t>工作规范</w:t>
            </w:r>
            <w:r>
              <w:rPr>
                <w:rFonts w:hint="eastAsia" w:ascii="微软雅黑" w:hAnsi="微软雅黑" w:eastAsia="微软雅黑" w:cs="Times New Roman"/>
                <w:color w:val="000000"/>
                <w:sz w:val="20"/>
                <w:szCs w:val="20"/>
              </w:rPr>
              <w:t>以《GB50311-2016综合布线系统工程设计规范》和《GB/T50312-2016综合布线系统工程验收规范》为标准，参照《廊坊银行数据中心综合布线规范》，并严格按照规范进行布线，布线是否合格作为验收和付款的条件，对于布线不符合规范的在整改完成前不会验收和付款。</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(1</w:t>
            </w:r>
            <w:r>
              <w:rPr>
                <w:rFonts w:hint="eastAsia" w:ascii="微软雅黑" w:hAnsi="微软雅黑" w:eastAsia="微软雅黑" w:cs="Times New Roman"/>
                <w:color w:val="000000"/>
                <w:sz w:val="20"/>
                <w:szCs w:val="20"/>
                <w:lang w:val="en-US" w:eastAsia="zh-CN"/>
              </w:rPr>
              <w:t>1</w:t>
            </w:r>
            <w:r>
              <w:rPr>
                <w:rFonts w:hint="eastAsia" w:ascii="微软雅黑" w:hAnsi="微软雅黑" w:eastAsia="微软雅黑" w:cs="Times New Roman"/>
                <w:color w:val="000000"/>
                <w:sz w:val="20"/>
                <w:szCs w:val="20"/>
              </w:rPr>
              <w:t>)项目所用线缆品牌为康普，质量应符合国家相关标准，规格满足如下要求：</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多模光纤：OM4</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单模光纤：OS2</w:t>
            </w:r>
          </w:p>
          <w:p>
            <w:pPr>
              <w:widowControl w:val="0"/>
              <w:ind w:firstLine="397"/>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千兆网线：CAT6</w:t>
            </w:r>
          </w:p>
          <w:p>
            <w:pPr>
              <w:widowControl/>
              <w:jc w:val="left"/>
              <w:rPr>
                <w:rFonts w:ascii="微软雅黑" w:hAnsi="微软雅黑" w:eastAsia="微软雅黑" w:cs="宋体"/>
                <w:kern w:val="0"/>
                <w:sz w:val="20"/>
                <w:szCs w:val="20"/>
              </w:rPr>
            </w:pP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万兆网线：CAT6A</w:t>
            </w:r>
          </w:p>
        </w:tc>
      </w:tr>
    </w:tbl>
    <w:p>
      <w:r>
        <w:fldChar w:fldCharType="end"/>
      </w:r>
    </w:p>
    <w:p/>
    <w:p>
      <w:pPr>
        <w:pStyle w:val="24"/>
        <w:numPr>
          <w:ilvl w:val="0"/>
          <w:numId w:val="13"/>
        </w:numPr>
        <w:jc w:val="left"/>
        <w:rPr>
          <w:rFonts w:ascii="微软雅黑" w:hAnsi="微软雅黑" w:eastAsia="微软雅黑"/>
        </w:rPr>
      </w:pPr>
      <w:bookmarkStart w:id="24" w:name="_Toc8096"/>
      <w:r>
        <w:fldChar w:fldCharType="end"/>
      </w:r>
      <w:r>
        <w:rPr>
          <w:rFonts w:hint="eastAsia" w:ascii="微软雅黑" w:hAnsi="微软雅黑" w:eastAsia="微软雅黑"/>
        </w:rPr>
        <w:t>项目成员技术要求</w:t>
      </w:r>
      <w:bookmarkEnd w:id="24"/>
    </w:p>
    <w:tbl>
      <w:tblPr>
        <w:tblStyle w:val="32"/>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701"/>
        <w:gridCol w:w="1276"/>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06" w:type="dxa"/>
            <w:shd w:val="pct20" w:color="auto" w:fill="auto"/>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编号</w:t>
            </w:r>
          </w:p>
        </w:tc>
        <w:tc>
          <w:tcPr>
            <w:tcW w:w="1701" w:type="dxa"/>
            <w:shd w:val="pct20" w:color="auto" w:fill="auto"/>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实施人员级别</w:t>
            </w:r>
          </w:p>
        </w:tc>
        <w:tc>
          <w:tcPr>
            <w:tcW w:w="1276" w:type="dxa"/>
            <w:shd w:val="pct20" w:color="auto" w:fill="auto"/>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需求比例</w:t>
            </w:r>
          </w:p>
        </w:tc>
        <w:tc>
          <w:tcPr>
            <w:tcW w:w="5668" w:type="dxa"/>
            <w:shd w:val="pct20" w:color="auto" w:fill="auto"/>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706" w:type="dxa"/>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1</w:t>
            </w:r>
          </w:p>
        </w:tc>
        <w:tc>
          <w:tcPr>
            <w:tcW w:w="1701" w:type="dxa"/>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项目经理</w:t>
            </w:r>
          </w:p>
        </w:tc>
        <w:tc>
          <w:tcPr>
            <w:tcW w:w="1276" w:type="dxa"/>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1人</w:t>
            </w:r>
          </w:p>
        </w:tc>
        <w:tc>
          <w:tcPr>
            <w:tcW w:w="5668" w:type="dxa"/>
            <w:vAlign w:val="center"/>
          </w:tcPr>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8年以上项目管理经验；</w:t>
            </w:r>
          </w:p>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具有至少与我方同规模银行</w:t>
            </w:r>
            <w:r>
              <w:rPr>
                <w:rFonts w:hint="eastAsia" w:ascii="微软雅黑" w:hAnsi="微软雅黑" w:eastAsia="微软雅黑" w:cs="Times New Roman"/>
                <w:color w:val="000000"/>
                <w:sz w:val="20"/>
                <w:szCs w:val="20"/>
                <w:lang w:val="en-US" w:eastAsia="zh-CN"/>
              </w:rPr>
              <w:t>数据中心</w:t>
            </w:r>
            <w:r>
              <w:rPr>
                <w:rFonts w:hint="eastAsia" w:ascii="微软雅黑" w:hAnsi="微软雅黑" w:eastAsia="微软雅黑" w:cs="Times New Roman"/>
                <w:color w:val="000000"/>
                <w:sz w:val="20"/>
                <w:szCs w:val="20"/>
              </w:rPr>
              <w:t>相关项目管理经验</w:t>
            </w:r>
          </w:p>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熟悉银行业监管机构相关电子银行安全规定；</w:t>
            </w:r>
          </w:p>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良好的沟通、协调能力和团队管理能力；</w:t>
            </w:r>
          </w:p>
          <w:p>
            <w:pPr>
              <w:autoSpaceDE w:val="0"/>
              <w:autoSpaceDN w:val="0"/>
              <w:rPr>
                <w:rFonts w:ascii="微软雅黑" w:hAnsi="微软雅黑" w:eastAsia="微软雅黑"/>
                <w:sz w:val="20"/>
                <w:szCs w:val="20"/>
              </w:rPr>
            </w:pP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706" w:type="dxa"/>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2</w:t>
            </w:r>
          </w:p>
        </w:tc>
        <w:tc>
          <w:tcPr>
            <w:tcW w:w="1701" w:type="dxa"/>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实施经理</w:t>
            </w:r>
          </w:p>
        </w:tc>
        <w:tc>
          <w:tcPr>
            <w:tcW w:w="1276" w:type="dxa"/>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lang w:val="en-US" w:eastAsia="zh-CN"/>
              </w:rPr>
              <w:t>2</w:t>
            </w:r>
            <w:r>
              <w:rPr>
                <w:rFonts w:hint="eastAsia" w:ascii="微软雅黑" w:hAnsi="微软雅黑" w:eastAsia="微软雅黑"/>
                <w:sz w:val="20"/>
                <w:szCs w:val="20"/>
              </w:rPr>
              <w:t>人</w:t>
            </w:r>
          </w:p>
        </w:tc>
        <w:tc>
          <w:tcPr>
            <w:tcW w:w="5668" w:type="dxa"/>
          </w:tcPr>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网络方向2人，CCIE、HCIE或同等级技术认证</w:t>
            </w:r>
            <w:r>
              <w:rPr>
                <w:rFonts w:hint="eastAsia" w:ascii="微软雅黑" w:hAnsi="微软雅黑" w:eastAsia="微软雅黑" w:cs="Times New Roman"/>
                <w:color w:val="000000"/>
                <w:sz w:val="20"/>
                <w:szCs w:val="20"/>
                <w:lang w:eastAsia="zh-CN"/>
              </w:rPr>
              <w:t>，</w:t>
            </w:r>
            <w:r>
              <w:rPr>
                <w:rFonts w:hint="eastAsia" w:ascii="微软雅黑" w:hAnsi="微软雅黑" w:eastAsia="微软雅黑" w:cs="Times New Roman"/>
                <w:color w:val="000000"/>
                <w:sz w:val="20"/>
                <w:szCs w:val="20"/>
              </w:rPr>
              <w:t>5年以上网络项目集成经验；</w:t>
            </w:r>
          </w:p>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具有至少与我方同规模网络集成项目管理经验；</w:t>
            </w:r>
          </w:p>
          <w:p>
            <w:pPr>
              <w:autoSpaceDE w:val="0"/>
              <w:autoSpaceDN w:val="0"/>
              <w:rPr>
                <w:rFonts w:ascii="微软雅黑" w:hAnsi="微软雅黑" w:eastAsia="微软雅黑"/>
                <w:sz w:val="20"/>
                <w:szCs w:val="20"/>
              </w:rPr>
            </w:pP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提供相关证明资料</w:t>
            </w:r>
            <w:r>
              <w:rPr>
                <w:rFonts w:hint="eastAsia" w:ascii="微软雅黑" w:hAnsi="微软雅黑" w:eastAsia="微软雅黑" w:cs="Times New Roman"/>
                <w:color w:val="000000"/>
                <w:sz w:val="20"/>
                <w:szCs w:val="20"/>
                <w:lang w:eastAsia="zh-CN"/>
              </w:rPr>
              <w:t>。</w:t>
            </w:r>
          </w:p>
        </w:tc>
      </w:tr>
    </w:tbl>
    <w:p>
      <w:pPr>
        <w:spacing w:line="360" w:lineRule="auto"/>
        <w:ind w:firstLine="420"/>
        <w:rPr>
          <w:rFonts w:ascii="微软雅黑" w:hAnsi="微软雅黑" w:eastAsia="微软雅黑"/>
          <w:sz w:val="20"/>
          <w:szCs w:val="20"/>
        </w:rPr>
      </w:pPr>
      <w:r>
        <w:rPr>
          <w:rFonts w:hint="eastAsia" w:ascii="微软雅黑" w:hAnsi="微软雅黑" w:eastAsia="微软雅黑"/>
          <w:sz w:val="20"/>
          <w:szCs w:val="20"/>
        </w:rPr>
        <w:t>注：以上人员系中标公司人员，第三方或原厂商工程技术人员不得含在其中</w:t>
      </w:r>
      <w:r>
        <w:rPr>
          <w:rFonts w:hint="eastAsia" w:ascii="微软雅黑" w:hAnsi="微软雅黑" w:eastAsia="微软雅黑"/>
          <w:sz w:val="20"/>
          <w:szCs w:val="20"/>
          <w:lang w:val="en-US" w:eastAsia="zh-CN"/>
        </w:rPr>
        <w:t>并且中标方须在入场实施前向甲方提供准确的实施人员简历</w:t>
      </w:r>
      <w:r>
        <w:rPr>
          <w:rFonts w:hint="eastAsia" w:ascii="微软雅黑" w:hAnsi="微软雅黑" w:eastAsia="微软雅黑"/>
          <w:sz w:val="20"/>
          <w:szCs w:val="20"/>
        </w:rPr>
        <w:t>。</w:t>
      </w:r>
    </w:p>
    <w:p>
      <w:pPr>
        <w:pStyle w:val="24"/>
        <w:numPr>
          <w:ilvl w:val="0"/>
          <w:numId w:val="13"/>
        </w:numPr>
        <w:jc w:val="left"/>
        <w:rPr>
          <w:rFonts w:ascii="微软雅黑" w:hAnsi="微软雅黑" w:eastAsia="微软雅黑"/>
        </w:rPr>
      </w:pPr>
      <w:bookmarkStart w:id="25" w:name="_Toc23455"/>
      <w:bookmarkStart w:id="26" w:name="_Toc421525473"/>
      <w:bookmarkStart w:id="27" w:name="_Toc267921547"/>
      <w:bookmarkStart w:id="28" w:name="_Toc298237720"/>
      <w:r>
        <w:rPr>
          <w:rFonts w:hint="eastAsia" w:ascii="微软雅黑" w:hAnsi="微软雅黑" w:eastAsia="微软雅黑"/>
        </w:rPr>
        <w:t>上线时间要求</w:t>
      </w:r>
      <w:bookmarkEnd w:id="25"/>
      <w:bookmarkEnd w:id="26"/>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1.本次招标所有设备的使用地为廊坊银行。</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2.中标方于收到中标通知之日起设备30日完成交货工作，全部交货后一个</w:t>
      </w:r>
      <w:r>
        <w:rPr>
          <w:rFonts w:hint="eastAsia" w:ascii="微软雅黑" w:hAnsi="微软雅黑" w:eastAsia="微软雅黑" w:cs="Times New Roman"/>
          <w:color w:val="000000"/>
          <w:sz w:val="20"/>
          <w:szCs w:val="20"/>
          <w:lang w:val="en-US" w:eastAsia="zh-CN"/>
        </w:rPr>
        <w:t>半</w:t>
      </w:r>
      <w:r>
        <w:rPr>
          <w:rFonts w:hint="eastAsia" w:ascii="微软雅黑" w:hAnsi="微软雅黑" w:eastAsia="微软雅黑" w:cs="Times New Roman"/>
          <w:color w:val="000000"/>
          <w:sz w:val="20"/>
          <w:szCs w:val="20"/>
        </w:rPr>
        <w:t>月内安装调试、全部集成等工作，并于集成工作结束后1周提交安装配置文档。</w:t>
      </w:r>
    </w:p>
    <w:p>
      <w:pPr>
        <w:spacing w:line="360" w:lineRule="auto"/>
        <w:ind w:firstLine="420"/>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3.中标方需在收到中标通知之日起7日内，提供厂商的下单证明材料，如未提交，招标人有权取消中标方的中标资格。</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lang w:val="en-US" w:eastAsia="zh-CN"/>
        </w:rPr>
        <w:t>4</w:t>
      </w:r>
      <w:r>
        <w:rPr>
          <w:rFonts w:hint="eastAsia" w:ascii="微软雅黑" w:hAnsi="微软雅黑" w:eastAsia="微软雅黑" w:cs="Times New Roman"/>
          <w:color w:val="000000"/>
          <w:sz w:val="20"/>
          <w:szCs w:val="20"/>
        </w:rPr>
        <w:t>.投标人须根据招标人提供的安装环境做出安装方案，经双方讨论确认后，进行安装实施工作。</w:t>
      </w:r>
    </w:p>
    <w:p>
      <w:pPr>
        <w:rPr>
          <w:rFonts w:hint="eastAsia" w:eastAsia="微软雅黑"/>
          <w:lang w:eastAsia="zh-CN"/>
        </w:rPr>
      </w:pPr>
      <w:r>
        <w:rPr>
          <w:rFonts w:hint="eastAsia" w:ascii="微软雅黑" w:hAnsi="微软雅黑" w:eastAsia="微软雅黑" w:cs="Times New Roman"/>
          <w:color w:val="000000"/>
          <w:sz w:val="20"/>
          <w:szCs w:val="20"/>
          <w:lang w:val="en-US" w:eastAsia="zh-CN"/>
        </w:rPr>
        <w:t xml:space="preserve">    5</w:t>
      </w:r>
      <w:r>
        <w:rPr>
          <w:rFonts w:hint="eastAsia" w:ascii="微软雅黑" w:hAnsi="微软雅黑" w:eastAsia="微软雅黑" w:cs="Times New Roman"/>
          <w:color w:val="000000"/>
          <w:sz w:val="20"/>
          <w:szCs w:val="20"/>
        </w:rPr>
        <w:t>.设备发货，中标方提前一天通知廊坊银行接口人相关快递信息，包括快递公司、设备数量等，以便安排接货</w:t>
      </w:r>
      <w:r>
        <w:rPr>
          <w:rFonts w:hint="eastAsia" w:ascii="微软雅黑" w:hAnsi="微软雅黑" w:eastAsia="微软雅黑" w:cs="Times New Roman"/>
          <w:color w:val="000000"/>
          <w:sz w:val="20"/>
          <w:szCs w:val="20"/>
          <w:lang w:eastAsia="zh-CN"/>
        </w:rPr>
        <w:t>。</w:t>
      </w:r>
    </w:p>
    <w:p>
      <w:pPr>
        <w:pStyle w:val="24"/>
        <w:numPr>
          <w:ilvl w:val="0"/>
          <w:numId w:val="13"/>
        </w:numPr>
        <w:jc w:val="left"/>
        <w:rPr>
          <w:rFonts w:ascii="微软雅黑" w:hAnsi="微软雅黑" w:eastAsia="微软雅黑"/>
        </w:rPr>
      </w:pPr>
      <w:bookmarkStart w:id="29" w:name="_Toc26258"/>
      <w:bookmarkStart w:id="30" w:name="_Toc444514003"/>
      <w:bookmarkStart w:id="31" w:name="_Toc421525474"/>
      <w:bookmarkStart w:id="32" w:name="_Toc411093161"/>
      <w:r>
        <w:rPr>
          <w:rFonts w:hint="eastAsia" w:ascii="微软雅黑" w:hAnsi="微软雅黑" w:eastAsia="微软雅黑"/>
        </w:rPr>
        <w:t>集成要求</w:t>
      </w:r>
      <w:bookmarkEnd w:id="29"/>
      <w:bookmarkEnd w:id="30"/>
      <w:bookmarkEnd w:id="31"/>
      <w:bookmarkEnd w:id="32"/>
    </w:p>
    <w:p>
      <w:pPr>
        <w:pStyle w:val="84"/>
        <w:numPr>
          <w:ilvl w:val="0"/>
          <w:numId w:val="14"/>
        </w:numPr>
        <w:spacing w:line="360" w:lineRule="auto"/>
        <w:ind w:firstLineChars="0"/>
        <w:rPr>
          <w:rFonts w:ascii="微软雅黑" w:hAnsi="微软雅黑" w:eastAsia="微软雅黑"/>
          <w:sz w:val="20"/>
          <w:szCs w:val="20"/>
        </w:rPr>
      </w:pPr>
      <w:r>
        <w:rPr>
          <w:rFonts w:hint="eastAsia" w:ascii="微软雅黑" w:hAnsi="微软雅黑" w:eastAsia="微软雅黑"/>
          <w:sz w:val="20"/>
          <w:szCs w:val="20"/>
        </w:rPr>
        <w:t>本次项目包含</w:t>
      </w:r>
      <w:r>
        <w:rPr>
          <w:rFonts w:hint="eastAsia" w:ascii="微软雅黑" w:hAnsi="微软雅黑" w:eastAsia="微软雅黑"/>
          <w:sz w:val="20"/>
          <w:szCs w:val="20"/>
          <w:lang w:eastAsia="zh-CN"/>
        </w:rPr>
        <w:t>旧设备下架新设备上架配置以及</w:t>
      </w:r>
      <w:r>
        <w:rPr>
          <w:rFonts w:hint="eastAsia" w:ascii="微软雅黑" w:hAnsi="微软雅黑" w:eastAsia="微软雅黑"/>
          <w:sz w:val="20"/>
          <w:szCs w:val="20"/>
        </w:rPr>
        <w:t>业务迁移工作，要求中标人制定整体可行的详细的设计实施方案及计划，平稳完成原有</w:t>
      </w:r>
      <w:r>
        <w:rPr>
          <w:rFonts w:hint="eastAsia" w:ascii="微软雅黑" w:hAnsi="微软雅黑" w:eastAsia="微软雅黑"/>
          <w:sz w:val="20"/>
          <w:szCs w:val="20"/>
          <w:lang w:eastAsia="zh-CN"/>
        </w:rPr>
        <w:t>设备</w:t>
      </w:r>
      <w:r>
        <w:rPr>
          <w:rFonts w:hint="eastAsia" w:ascii="微软雅黑" w:hAnsi="微软雅黑" w:eastAsia="微软雅黑"/>
          <w:sz w:val="20"/>
          <w:szCs w:val="20"/>
        </w:rPr>
        <w:t>到新</w:t>
      </w:r>
      <w:r>
        <w:rPr>
          <w:rFonts w:hint="eastAsia" w:ascii="微软雅黑" w:hAnsi="微软雅黑" w:eastAsia="微软雅黑"/>
          <w:sz w:val="20"/>
          <w:szCs w:val="20"/>
          <w:lang w:eastAsia="zh-CN"/>
        </w:rPr>
        <w:t>设备</w:t>
      </w:r>
      <w:r>
        <w:rPr>
          <w:rFonts w:hint="eastAsia" w:ascii="微软雅黑" w:hAnsi="微软雅黑" w:eastAsia="微软雅黑"/>
          <w:sz w:val="20"/>
          <w:szCs w:val="20"/>
        </w:rPr>
        <w:t>的割接工作。</w:t>
      </w:r>
    </w:p>
    <w:p>
      <w:pPr>
        <w:pStyle w:val="84"/>
        <w:numPr>
          <w:ilvl w:val="0"/>
          <w:numId w:val="14"/>
        </w:numPr>
        <w:spacing w:line="360" w:lineRule="auto"/>
        <w:ind w:firstLineChars="0"/>
        <w:rPr>
          <w:rFonts w:ascii="微软雅黑" w:hAnsi="微软雅黑" w:eastAsia="微软雅黑"/>
          <w:sz w:val="20"/>
          <w:szCs w:val="20"/>
        </w:rPr>
      </w:pPr>
      <w:r>
        <w:rPr>
          <w:rFonts w:hint="eastAsia" w:ascii="微软雅黑" w:hAnsi="微软雅黑" w:eastAsia="微软雅黑"/>
          <w:sz w:val="20"/>
          <w:szCs w:val="20"/>
        </w:rPr>
        <w:t>要求中标人完成其供货设备的安装配置工作。</w:t>
      </w:r>
    </w:p>
    <w:p>
      <w:pPr>
        <w:pStyle w:val="84"/>
        <w:numPr>
          <w:ilvl w:val="0"/>
          <w:numId w:val="14"/>
        </w:numPr>
        <w:spacing w:line="360" w:lineRule="auto"/>
        <w:ind w:firstLineChars="0"/>
        <w:rPr>
          <w:rFonts w:ascii="微软雅黑" w:hAnsi="微软雅黑" w:eastAsia="微软雅黑"/>
          <w:sz w:val="20"/>
          <w:szCs w:val="20"/>
        </w:rPr>
      </w:pPr>
      <w:r>
        <w:rPr>
          <w:rFonts w:hint="eastAsia" w:ascii="微软雅黑" w:hAnsi="微软雅黑" w:eastAsia="微软雅黑"/>
          <w:sz w:val="20"/>
          <w:szCs w:val="20"/>
        </w:rPr>
        <w:t>第三方安全评估公司对网络进行安全评估后，招标方需对不合格项进行配置调整以达到招标方安全需要。</w:t>
      </w:r>
    </w:p>
    <w:p>
      <w:pPr>
        <w:pStyle w:val="84"/>
        <w:numPr>
          <w:ilvl w:val="0"/>
          <w:numId w:val="14"/>
        </w:numPr>
        <w:spacing w:line="360" w:lineRule="auto"/>
        <w:ind w:firstLineChars="0"/>
        <w:rPr>
          <w:rFonts w:ascii="微软雅黑" w:hAnsi="微软雅黑" w:eastAsia="微软雅黑"/>
          <w:sz w:val="20"/>
          <w:szCs w:val="20"/>
        </w:rPr>
      </w:pPr>
      <w:r>
        <w:rPr>
          <w:rFonts w:hint="eastAsia" w:ascii="微软雅黑" w:hAnsi="微软雅黑" w:eastAsia="微软雅黑"/>
          <w:sz w:val="20"/>
          <w:szCs w:val="20"/>
          <w:lang w:val="en-US" w:eastAsia="zh-CN"/>
        </w:rPr>
        <w:t>如中标方派遣的现场实施工程师技术能力不足以完成项目实施，要求中标方联系原厂人员到现场实施，且需要在现场驻场实施直到项目实施结束，所需费用需要中标方承担。</w:t>
      </w:r>
    </w:p>
    <w:p>
      <w:pPr>
        <w:widowControl/>
        <w:jc w:val="left"/>
        <w:rPr>
          <w:rFonts w:ascii="微软雅黑" w:hAnsi="微软雅黑" w:eastAsia="微软雅黑" w:cs="黑体"/>
          <w:b/>
          <w:bCs/>
          <w:kern w:val="28"/>
          <w:sz w:val="30"/>
          <w:szCs w:val="32"/>
        </w:rPr>
      </w:pPr>
      <w:bookmarkStart w:id="33" w:name="_Toc421525475"/>
      <w:bookmarkStart w:id="34" w:name="_Toc411093162"/>
      <w:r>
        <w:rPr>
          <w:rFonts w:ascii="微软雅黑" w:hAnsi="微软雅黑" w:eastAsia="微软雅黑"/>
        </w:rPr>
        <w:br w:type="page"/>
      </w:r>
    </w:p>
    <w:p>
      <w:pPr>
        <w:pStyle w:val="24"/>
        <w:numPr>
          <w:ilvl w:val="0"/>
          <w:numId w:val="13"/>
        </w:numPr>
        <w:jc w:val="left"/>
        <w:rPr>
          <w:rFonts w:ascii="微软雅黑" w:hAnsi="微软雅黑" w:eastAsia="微软雅黑"/>
        </w:rPr>
      </w:pPr>
      <w:bookmarkStart w:id="35" w:name="_Toc19350"/>
      <w:r>
        <w:rPr>
          <w:rFonts w:hint="eastAsia" w:ascii="微软雅黑" w:hAnsi="微软雅黑" w:eastAsia="微软雅黑"/>
        </w:rPr>
        <w:t>售后服务要求</w:t>
      </w:r>
      <w:bookmarkEnd w:id="33"/>
      <w:bookmarkEnd w:id="34"/>
      <w:bookmarkEnd w:id="35"/>
    </w:p>
    <w:p>
      <w:pPr>
        <w:spacing w:line="360" w:lineRule="auto"/>
        <w:ind w:firstLine="420"/>
        <w:rPr>
          <w:rFonts w:ascii="微软雅黑" w:hAnsi="微软雅黑" w:eastAsia="微软雅黑"/>
          <w:szCs w:val="21"/>
        </w:rPr>
      </w:pPr>
      <w:r>
        <w:rPr>
          <w:rFonts w:hint="eastAsia" w:ascii="微软雅黑" w:hAnsi="微软雅黑" w:eastAsia="微软雅黑"/>
          <w:szCs w:val="21"/>
        </w:rPr>
        <w:t>1、要求提供原厂7*24技术支持服务，解答技术问题和故障咨询，接到支持需求必须在30分钟内做出实质回应，备机备件服务；</w:t>
      </w:r>
    </w:p>
    <w:p>
      <w:pPr>
        <w:spacing w:line="360" w:lineRule="auto"/>
        <w:ind w:firstLine="420"/>
        <w:rPr>
          <w:rFonts w:ascii="微软雅黑" w:hAnsi="微软雅黑" w:eastAsia="微软雅黑"/>
          <w:szCs w:val="21"/>
        </w:rPr>
      </w:pPr>
      <w:r>
        <w:rPr>
          <w:rFonts w:hint="eastAsia" w:ascii="微软雅黑" w:hAnsi="微软雅黑" w:eastAsia="微软雅黑"/>
          <w:szCs w:val="21"/>
        </w:rPr>
        <w:t>2、中标人提供7*24小时的现场支持，工程师须在接到需求后2小时到达现场，2小时内排除故障；</w:t>
      </w:r>
    </w:p>
    <w:p>
      <w:pPr>
        <w:spacing w:line="360" w:lineRule="auto"/>
        <w:ind w:firstLine="420"/>
        <w:rPr>
          <w:rFonts w:ascii="微软雅黑" w:hAnsi="微软雅黑" w:eastAsia="微软雅黑"/>
          <w:szCs w:val="21"/>
        </w:rPr>
      </w:pPr>
      <w:r>
        <w:rPr>
          <w:rFonts w:hint="eastAsia" w:ascii="微软雅黑" w:hAnsi="微软雅黑" w:eastAsia="微软雅黑"/>
          <w:szCs w:val="21"/>
        </w:rPr>
        <w:t>3、产品上线后，免费提供1周现场保障服务；</w:t>
      </w:r>
    </w:p>
    <w:p>
      <w:pPr>
        <w:spacing w:line="360" w:lineRule="auto"/>
        <w:ind w:firstLine="420"/>
        <w:rPr>
          <w:rFonts w:ascii="微软雅黑" w:hAnsi="微软雅黑" w:eastAsia="微软雅黑"/>
          <w:szCs w:val="21"/>
        </w:rPr>
      </w:pPr>
      <w:r>
        <w:rPr>
          <w:rFonts w:hint="eastAsia" w:ascii="微软雅黑" w:hAnsi="微软雅黑" w:eastAsia="微软雅黑"/>
          <w:szCs w:val="21"/>
        </w:rPr>
        <w:t>4、因招标方第三方设备调整需要投标方安排人员现场支持时，要求中标人安排人员现场支持；</w:t>
      </w:r>
    </w:p>
    <w:p>
      <w:pPr>
        <w:spacing w:line="360" w:lineRule="auto"/>
        <w:ind w:firstLine="420"/>
        <w:rPr>
          <w:rFonts w:ascii="微软雅黑" w:hAnsi="微软雅黑" w:eastAsia="微软雅黑"/>
          <w:szCs w:val="21"/>
        </w:rPr>
      </w:pPr>
      <w:r>
        <w:rPr>
          <w:rFonts w:hint="eastAsia" w:ascii="微软雅黑" w:hAnsi="微软雅黑" w:eastAsia="微软雅黑"/>
          <w:szCs w:val="21"/>
        </w:rPr>
        <w:t>5、要求中标人在服务期内，每季度对采购系统进行一次高级巡检，检查系统运行状态，分析日志，针对系统存在的问题提出解决建议，并应甲方要求，对系统存在的问题进行处理。服务商应在在现场巡检后的五个工作日内提交系统运行状态巡检报告；</w:t>
      </w:r>
    </w:p>
    <w:p>
      <w:pPr>
        <w:spacing w:line="360" w:lineRule="auto"/>
        <w:ind w:firstLine="420"/>
        <w:rPr>
          <w:rFonts w:ascii="微软雅黑" w:hAnsi="微软雅黑" w:eastAsia="微软雅黑"/>
          <w:szCs w:val="21"/>
        </w:rPr>
      </w:pPr>
      <w:r>
        <w:rPr>
          <w:rFonts w:hint="eastAsia" w:ascii="微软雅黑" w:hAnsi="微软雅黑" w:eastAsia="微软雅黑"/>
          <w:szCs w:val="21"/>
        </w:rPr>
        <w:t>6、要求中标人提供备品备件服务。若所采购设备发生硬件故障，中标人需在2小时内提供备品备件至现场；</w:t>
      </w:r>
    </w:p>
    <w:p>
      <w:pPr>
        <w:spacing w:line="360" w:lineRule="auto"/>
        <w:ind w:firstLine="420"/>
        <w:rPr>
          <w:rFonts w:ascii="微软雅黑" w:hAnsi="微软雅黑" w:eastAsia="微软雅黑"/>
          <w:szCs w:val="21"/>
        </w:rPr>
      </w:pPr>
      <w:r>
        <w:rPr>
          <w:rFonts w:hint="eastAsia" w:ascii="微软雅黑" w:hAnsi="微软雅黑" w:eastAsia="微软雅黑"/>
          <w:szCs w:val="21"/>
        </w:rPr>
        <w:t>7、软件升级保护及版本评估服务。在中标设备运行维护期间，中标人需向甲方提供设备软件版本评估服务，并对中标设备提供免费升级保护服务，内容包括软件版本升级、软件补丁升级、软件介质更换、相关技术资料提供等；</w:t>
      </w:r>
    </w:p>
    <w:p>
      <w:pPr>
        <w:spacing w:line="360" w:lineRule="auto"/>
        <w:ind w:firstLine="420"/>
        <w:rPr>
          <w:rFonts w:ascii="微软雅黑" w:hAnsi="微软雅黑" w:eastAsia="微软雅黑"/>
          <w:szCs w:val="21"/>
        </w:rPr>
      </w:pPr>
      <w:r>
        <w:rPr>
          <w:rFonts w:hint="eastAsia" w:ascii="微软雅黑" w:hAnsi="微软雅黑" w:eastAsia="微软雅黑"/>
          <w:szCs w:val="21"/>
        </w:rPr>
        <w:t>8、要求在关键时间点（如：重大节日、银行年终决算、重要应急演练等），须派原厂工程师到现场技术保障；</w:t>
      </w:r>
    </w:p>
    <w:p>
      <w:pPr>
        <w:spacing w:line="360" w:lineRule="auto"/>
        <w:ind w:firstLine="420"/>
        <w:rPr>
          <w:rFonts w:ascii="微软雅黑" w:hAnsi="微软雅黑" w:eastAsia="微软雅黑"/>
          <w:szCs w:val="21"/>
        </w:rPr>
      </w:pPr>
      <w:r>
        <w:rPr>
          <w:rFonts w:hint="eastAsia" w:ascii="微软雅黑" w:hAnsi="微软雅黑" w:eastAsia="微软雅黑"/>
          <w:szCs w:val="21"/>
        </w:rPr>
        <w:t>9、要求中标人按招标方要求提供现场支持和培训服务（不计次，且至少提供一次包含本次设备同类型产品的模拟实验环境）。</w:t>
      </w:r>
    </w:p>
    <w:p>
      <w:pPr>
        <w:pStyle w:val="85"/>
        <w:adjustRightInd w:val="0"/>
        <w:snapToGrid w:val="0"/>
        <w:spacing w:line="440" w:lineRule="exact"/>
        <w:ind w:left="420" w:firstLine="0" w:firstLineChars="0"/>
        <w:jc w:val="left"/>
        <w:rPr>
          <w:rFonts w:ascii="微软雅黑" w:hAnsi="微软雅黑" w:eastAsia="微软雅黑"/>
          <w:szCs w:val="21"/>
        </w:rPr>
      </w:pPr>
      <w:r>
        <w:rPr>
          <w:rFonts w:ascii="微软雅黑" w:hAnsi="微软雅黑" w:eastAsia="微软雅黑"/>
        </w:rPr>
        <w:br w:type="page"/>
      </w:r>
    </w:p>
    <w:p>
      <w:pPr>
        <w:pStyle w:val="3"/>
        <w:jc w:val="center"/>
        <w:rPr>
          <w:rFonts w:ascii="微软雅黑" w:hAnsi="微软雅黑" w:eastAsia="微软雅黑"/>
          <w:sz w:val="36"/>
          <w:szCs w:val="36"/>
        </w:rPr>
      </w:pPr>
      <w:bookmarkStart w:id="36" w:name="_Toc738"/>
      <w:r>
        <w:rPr>
          <w:rFonts w:hint="eastAsia" w:ascii="微软雅黑" w:hAnsi="微软雅黑" w:eastAsia="微软雅黑"/>
        </w:rPr>
        <w:t>第五部分：投标文件格式文本</w:t>
      </w:r>
      <w:bookmarkEnd w:id="27"/>
      <w:bookmarkEnd w:id="28"/>
      <w:bookmarkEnd w:id="36"/>
    </w:p>
    <w:p>
      <w:pPr>
        <w:pStyle w:val="24"/>
        <w:numPr>
          <w:ilvl w:val="0"/>
          <w:numId w:val="15"/>
        </w:numPr>
        <w:jc w:val="left"/>
        <w:rPr>
          <w:rFonts w:ascii="微软雅黑" w:hAnsi="微软雅黑" w:eastAsia="微软雅黑"/>
        </w:rPr>
      </w:pPr>
      <w:bookmarkStart w:id="37" w:name="_Toc267921548"/>
      <w:bookmarkStart w:id="38" w:name="_Toc550"/>
      <w:bookmarkStart w:id="39" w:name="_Toc298237721"/>
      <w:r>
        <w:rPr>
          <w:rFonts w:hint="eastAsia" w:ascii="微软雅黑" w:hAnsi="微软雅黑" w:eastAsia="微软雅黑"/>
        </w:rPr>
        <w:t>投标文件（商务标格式）</w:t>
      </w:r>
      <w:bookmarkEnd w:id="37"/>
      <w:bookmarkEnd w:id="38"/>
      <w:bookmarkEnd w:id="39"/>
    </w:p>
    <w:p>
      <w:pPr>
        <w:numPr>
          <w:ilvl w:val="0"/>
          <w:numId w:val="16"/>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法定代表人资格证明书（详见附录一）</w:t>
      </w:r>
    </w:p>
    <w:p>
      <w:pPr>
        <w:numPr>
          <w:ilvl w:val="0"/>
          <w:numId w:val="16"/>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法定代表人授权委托书（详见附录二）</w:t>
      </w:r>
    </w:p>
    <w:p>
      <w:pPr>
        <w:numPr>
          <w:ilvl w:val="0"/>
          <w:numId w:val="16"/>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投标书（详见附录三）</w:t>
      </w:r>
    </w:p>
    <w:p>
      <w:pPr>
        <w:numPr>
          <w:ilvl w:val="0"/>
          <w:numId w:val="16"/>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商务偏离表（详见附录四）</w:t>
      </w:r>
    </w:p>
    <w:p>
      <w:pPr>
        <w:numPr>
          <w:ilvl w:val="0"/>
          <w:numId w:val="16"/>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财务数据及报表</w:t>
      </w:r>
    </w:p>
    <w:p>
      <w:pPr>
        <w:spacing w:line="440" w:lineRule="exact"/>
        <w:ind w:left="420" w:left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1）</w:t>
      </w:r>
      <w:r>
        <w:rPr>
          <w:rFonts w:hint="eastAsia" w:ascii="微软雅黑" w:hAnsi="微软雅黑" w:eastAsia="微软雅黑"/>
          <w:snapToGrid w:val="0"/>
          <w:kern w:val="0"/>
          <w:szCs w:val="21"/>
        </w:rPr>
        <w:tab/>
      </w:r>
      <w:r>
        <w:rPr>
          <w:rFonts w:hint="eastAsia" w:ascii="微软雅黑" w:hAnsi="微软雅黑" w:eastAsia="微软雅黑"/>
          <w:snapToGrid w:val="0"/>
          <w:kern w:val="0"/>
          <w:szCs w:val="21"/>
        </w:rPr>
        <w:t xml:space="preserve">投标人应提供最近三年经国家正规会计师事务所审计出具的审计报告，及经其审计的会计报表（资产负债表、利润表、现金流量表、所有者权益变动表及财务报表附注）； </w:t>
      </w:r>
    </w:p>
    <w:p>
      <w:pPr>
        <w:numPr>
          <w:ilvl w:val="0"/>
          <w:numId w:val="16"/>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承诺书（详见附录五）</w:t>
      </w:r>
    </w:p>
    <w:p>
      <w:pPr>
        <w:pStyle w:val="4"/>
        <w:spacing w:before="0" w:after="0" w:line="440" w:lineRule="exact"/>
        <w:rPr>
          <w:rFonts w:ascii="微软雅黑" w:hAnsi="微软雅黑" w:eastAsia="微软雅黑"/>
          <w:b w:val="0"/>
          <w:sz w:val="21"/>
          <w:szCs w:val="21"/>
        </w:rPr>
      </w:pPr>
      <w:r>
        <w:rPr>
          <w:rFonts w:ascii="微软雅黑" w:hAnsi="微软雅黑" w:eastAsia="微软雅黑"/>
          <w:szCs w:val="21"/>
        </w:rPr>
        <w:br w:type="page"/>
      </w:r>
      <w:bookmarkStart w:id="40" w:name="_Toc19539"/>
      <w:bookmarkStart w:id="41" w:name="_Toc298237722"/>
      <w:bookmarkStart w:id="42" w:name="_Toc267921549"/>
      <w:r>
        <w:rPr>
          <w:rFonts w:hint="eastAsia" w:ascii="微软雅黑" w:hAnsi="微软雅黑" w:eastAsia="微软雅黑"/>
          <w:sz w:val="21"/>
          <w:szCs w:val="21"/>
        </w:rPr>
        <w:t>附录一：法定代表人资格证明书</w:t>
      </w:r>
      <w:bookmarkEnd w:id="40"/>
      <w:bookmarkEnd w:id="41"/>
      <w:bookmarkEnd w:id="42"/>
    </w:p>
    <w:p>
      <w:pPr>
        <w:spacing w:line="440" w:lineRule="exact"/>
        <w:jc w:val="left"/>
        <w:rPr>
          <w:rFonts w:ascii="微软雅黑" w:hAnsi="微软雅黑" w:eastAsia="微软雅黑"/>
          <w:snapToGrid w:val="0"/>
          <w:kern w:val="0"/>
          <w:szCs w:val="21"/>
        </w:rPr>
      </w:pPr>
    </w:p>
    <w:p>
      <w:pPr>
        <w:spacing w:line="440" w:lineRule="exact"/>
        <w:ind w:firstLine="420" w:firstLineChars="200"/>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单位名称：</w:t>
      </w:r>
    </w:p>
    <w:p>
      <w:pPr>
        <w:spacing w:line="440" w:lineRule="exact"/>
        <w:ind w:firstLine="420" w:firstLineChars="200"/>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地    址：</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姓    名：性别：年龄：职务：</w:t>
      </w:r>
    </w:p>
    <w:p>
      <w:p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系的法定代表人（身份证或护照编号：），有权为廊坊银行“</w:t>
      </w:r>
      <w:r>
        <w:rPr>
          <w:rFonts w:hint="eastAsia" w:ascii="微软雅黑" w:hAnsi="微软雅黑" w:eastAsia="微软雅黑"/>
          <w:snapToGrid w:val="0"/>
          <w:kern w:val="0"/>
          <w:szCs w:val="21"/>
          <w:lang w:eastAsia="zh-CN"/>
        </w:rPr>
        <w:t>供应链金融项目-网络设备采购</w:t>
      </w:r>
      <w:r>
        <w:rPr>
          <w:rFonts w:hint="eastAsia" w:ascii="微软雅黑" w:hAnsi="微软雅黑" w:eastAsia="微软雅黑"/>
          <w:snapToGrid w:val="0"/>
          <w:kern w:val="0"/>
          <w:szCs w:val="21"/>
        </w:rPr>
        <w:t>”框架合作、签署合同和处理与之有关的一切事务。</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特此证明。</w:t>
      </w:r>
    </w:p>
    <w:p>
      <w:pPr>
        <w:spacing w:line="440" w:lineRule="exact"/>
        <w:ind w:firstLine="420" w:firstLineChars="200"/>
        <w:jc w:val="left"/>
        <w:rPr>
          <w:rFonts w:ascii="微软雅黑" w:hAnsi="微软雅黑" w:eastAsia="微软雅黑"/>
          <w:snapToGrid w:val="0"/>
          <w:kern w:val="0"/>
          <w:szCs w:val="21"/>
        </w:rPr>
      </w:pPr>
    </w:p>
    <w:p>
      <w:pPr>
        <w:spacing w:line="440" w:lineRule="exact"/>
        <w:ind w:firstLine="420" w:firstLineChars="200"/>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 xml:space="preserve">投标人：（盖公章）  </w:t>
      </w:r>
    </w:p>
    <w:p>
      <w:pPr>
        <w:spacing w:line="440" w:lineRule="exact"/>
        <w:ind w:left="51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日  期：年月日</w:t>
      </w: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widowControl/>
        <w:jc w:val="left"/>
        <w:rPr>
          <w:rFonts w:ascii="微软雅黑" w:hAnsi="微软雅黑" w:eastAsia="微软雅黑"/>
          <w:snapToGrid w:val="0"/>
          <w:kern w:val="0"/>
          <w:szCs w:val="21"/>
        </w:rPr>
      </w:pPr>
      <w:r>
        <w:rPr>
          <w:rFonts w:ascii="微软雅黑" w:hAnsi="微软雅黑" w:eastAsia="微软雅黑"/>
          <w:snapToGrid w:val="0"/>
          <w:kern w:val="0"/>
          <w:szCs w:val="21"/>
        </w:rPr>
        <w:br w:type="page"/>
      </w:r>
    </w:p>
    <w:p>
      <w:pPr>
        <w:pStyle w:val="4"/>
        <w:spacing w:before="0" w:after="0" w:line="440" w:lineRule="exact"/>
        <w:rPr>
          <w:rFonts w:ascii="微软雅黑" w:hAnsi="微软雅黑" w:eastAsia="微软雅黑"/>
          <w:sz w:val="21"/>
          <w:szCs w:val="21"/>
        </w:rPr>
      </w:pPr>
      <w:bookmarkStart w:id="43" w:name="_Toc267921550"/>
      <w:bookmarkStart w:id="44" w:name="_Toc298237723"/>
      <w:bookmarkStart w:id="45" w:name="_Toc12172"/>
      <w:r>
        <w:rPr>
          <w:rFonts w:hint="eastAsia" w:ascii="微软雅黑" w:hAnsi="微软雅黑" w:eastAsia="微软雅黑"/>
          <w:sz w:val="21"/>
          <w:szCs w:val="21"/>
        </w:rPr>
        <w:t>附录二：法定代表人授权委托书</w:t>
      </w:r>
      <w:bookmarkEnd w:id="43"/>
      <w:bookmarkEnd w:id="44"/>
      <w:bookmarkEnd w:id="45"/>
    </w:p>
    <w:p>
      <w:pPr>
        <w:spacing w:line="440" w:lineRule="exact"/>
        <w:jc w:val="left"/>
        <w:rPr>
          <w:rFonts w:ascii="微软雅黑" w:hAnsi="微软雅黑" w:eastAsia="微软雅黑"/>
          <w:b/>
          <w:snapToGrid w:val="0"/>
          <w:kern w:val="0"/>
          <w:szCs w:val="21"/>
        </w:rPr>
      </w:pPr>
    </w:p>
    <w:p>
      <w:p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廊坊</w:t>
      </w:r>
      <w:r>
        <w:rPr>
          <w:rFonts w:ascii="微软雅黑" w:hAnsi="微软雅黑" w:eastAsia="微软雅黑"/>
          <w:snapToGrid w:val="0"/>
          <w:kern w:val="0"/>
          <w:szCs w:val="21"/>
        </w:rPr>
        <w:t>银行股份有限公司</w:t>
      </w:r>
      <w:r>
        <w:rPr>
          <w:rFonts w:hint="eastAsia" w:ascii="微软雅黑" w:hAnsi="微软雅黑" w:eastAsia="微软雅黑"/>
          <w:snapToGrid w:val="0"/>
          <w:kern w:val="0"/>
          <w:szCs w:val="21"/>
        </w:rPr>
        <w:t>：</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我以法定代表人身份授权为全权代表，其参加贵司组织的</w:t>
      </w:r>
      <w:r>
        <w:rPr>
          <w:rFonts w:hint="eastAsia" w:ascii="微软雅黑" w:hAnsi="微软雅黑" w:eastAsia="微软雅黑"/>
        </w:rPr>
        <w:t>廊坊银行</w:t>
      </w:r>
      <w:r>
        <w:rPr>
          <w:rFonts w:hint="eastAsia" w:ascii="微软雅黑" w:hAnsi="微软雅黑" w:eastAsia="微软雅黑"/>
          <w:snapToGrid w:val="0"/>
          <w:kern w:val="0"/>
          <w:szCs w:val="21"/>
          <w:lang w:eastAsia="zh-CN"/>
        </w:rPr>
        <w:t>供应链金融项目-网络设备采购</w:t>
      </w:r>
      <w:r>
        <w:rPr>
          <w:rFonts w:ascii="微软雅黑" w:hAnsi="微软雅黑" w:eastAsia="微软雅黑"/>
          <w:snapToGrid w:val="0"/>
          <w:kern w:val="0"/>
          <w:szCs w:val="21"/>
        </w:rPr>
        <w:t>招标</w:t>
      </w:r>
      <w:r>
        <w:rPr>
          <w:rFonts w:hint="eastAsia" w:ascii="微软雅黑" w:hAnsi="微软雅黑" w:eastAsia="微软雅黑"/>
          <w:snapToGrid w:val="0"/>
          <w:kern w:val="0"/>
          <w:szCs w:val="21"/>
        </w:rPr>
        <w:t>的投标，签署投标文件及其他书面文件，负责参加开标、询标、商务洽谈、签署合同及招标活动中的一切事宜，我司均不可撤销地予以承认。</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法定代表人签字：</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投标单位全称（公章）：</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日期：年月日</w:t>
      </w:r>
    </w:p>
    <w:p>
      <w:pPr>
        <w:spacing w:line="440" w:lineRule="exact"/>
        <w:ind w:firstLine="435"/>
        <w:jc w:val="left"/>
        <w:rPr>
          <w:rFonts w:ascii="微软雅黑" w:hAnsi="微软雅黑" w:eastAsia="微软雅黑"/>
          <w:snapToGrid w:val="0"/>
          <w:kern w:val="0"/>
          <w:szCs w:val="21"/>
        </w:rPr>
      </w:pPr>
    </w:p>
    <w:p>
      <w:pPr>
        <w:spacing w:line="440" w:lineRule="exact"/>
        <w:ind w:firstLine="435"/>
        <w:jc w:val="left"/>
        <w:rPr>
          <w:rFonts w:ascii="微软雅黑" w:hAnsi="微软雅黑" w:eastAsia="微软雅黑"/>
          <w:snapToGrid w:val="0"/>
          <w:kern w:val="0"/>
          <w:szCs w:val="21"/>
        </w:rPr>
      </w:pPr>
    </w:p>
    <w:p>
      <w:p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附：全权代表姓名： </w:t>
      </w:r>
    </w:p>
    <w:p>
      <w:pPr>
        <w:adjustRightInd w:val="0"/>
        <w:snapToGrid w:val="0"/>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身份证号：</w:t>
      </w:r>
    </w:p>
    <w:p>
      <w:pPr>
        <w:adjustRightInd w:val="0"/>
        <w:snapToGrid w:val="0"/>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职    务： </w:t>
      </w:r>
    </w:p>
    <w:p>
      <w:pPr>
        <w:adjustRightInd w:val="0"/>
        <w:snapToGrid w:val="0"/>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详细通讯地址： </w:t>
      </w:r>
    </w:p>
    <w:p>
      <w:pPr>
        <w:adjustRightInd w:val="0"/>
        <w:snapToGrid w:val="0"/>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传    真：</w:t>
      </w:r>
    </w:p>
    <w:p>
      <w:pPr>
        <w:adjustRightInd w:val="0"/>
        <w:snapToGrid w:val="0"/>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电    话：</w:t>
      </w:r>
    </w:p>
    <w:p>
      <w:pPr>
        <w:adjustRightInd w:val="0"/>
        <w:snapToGrid w:val="0"/>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邮政编码：</w:t>
      </w:r>
    </w:p>
    <w:p>
      <w:pPr>
        <w:spacing w:line="440" w:lineRule="exact"/>
        <w:ind w:left="510"/>
        <w:jc w:val="left"/>
        <w:rPr>
          <w:rFonts w:ascii="微软雅黑" w:hAnsi="微软雅黑" w:eastAsia="微软雅黑"/>
          <w:b/>
          <w:snapToGrid w:val="0"/>
          <w:kern w:val="0"/>
          <w:szCs w:val="21"/>
        </w:rPr>
      </w:pPr>
    </w:p>
    <w:p>
      <w:pPr>
        <w:widowControl/>
        <w:jc w:val="left"/>
        <w:rPr>
          <w:rFonts w:ascii="微软雅黑" w:hAnsi="微软雅黑" w:eastAsia="微软雅黑"/>
          <w:szCs w:val="21"/>
        </w:rPr>
      </w:pPr>
      <w:r>
        <w:rPr>
          <w:rFonts w:ascii="微软雅黑" w:hAnsi="微软雅黑" w:eastAsia="微软雅黑"/>
          <w:szCs w:val="21"/>
        </w:rPr>
        <w:br w:type="page"/>
      </w:r>
    </w:p>
    <w:p>
      <w:pPr>
        <w:pStyle w:val="4"/>
        <w:spacing w:before="0" w:after="0" w:line="440" w:lineRule="exact"/>
        <w:rPr>
          <w:rFonts w:ascii="微软雅黑" w:hAnsi="微软雅黑" w:eastAsia="微软雅黑"/>
          <w:sz w:val="21"/>
          <w:szCs w:val="21"/>
        </w:rPr>
      </w:pPr>
      <w:bookmarkStart w:id="46" w:name="_Toc13202"/>
      <w:bookmarkStart w:id="47" w:name="_Toc267921551"/>
      <w:bookmarkStart w:id="48" w:name="_Toc298237724"/>
      <w:r>
        <w:rPr>
          <w:rFonts w:hint="eastAsia" w:ascii="微软雅黑" w:hAnsi="微软雅黑" w:eastAsia="微软雅黑"/>
          <w:sz w:val="21"/>
          <w:szCs w:val="21"/>
        </w:rPr>
        <w:t>附录三：投 标 书</w:t>
      </w:r>
      <w:bookmarkEnd w:id="46"/>
      <w:bookmarkEnd w:id="47"/>
      <w:bookmarkEnd w:id="48"/>
    </w:p>
    <w:p>
      <w:pPr>
        <w:snapToGrid w:val="0"/>
        <w:spacing w:line="440" w:lineRule="exact"/>
        <w:jc w:val="left"/>
        <w:rPr>
          <w:rFonts w:ascii="微软雅黑" w:hAnsi="微软雅黑" w:eastAsia="微软雅黑"/>
          <w:snapToGrid w:val="0"/>
          <w:kern w:val="0"/>
          <w:szCs w:val="21"/>
        </w:rPr>
      </w:pPr>
    </w:p>
    <w:p>
      <w:pPr>
        <w:snapToGrid w:val="0"/>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致：廊坊银行股份有限公司</w:t>
      </w:r>
    </w:p>
    <w:p>
      <w:pPr>
        <w:numPr>
          <w:ilvl w:val="0"/>
          <w:numId w:val="17"/>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在细阅了上述招标文件后，我们愿意全部按招标文件的规定包括招标文件中合同条款、技术要求、性能和其它要求，以下列的报价或按合作协议而结算的报价承揽廊坊银行</w:t>
      </w:r>
      <w:r>
        <w:rPr>
          <w:rFonts w:hint="eastAsia" w:ascii="微软雅黑" w:hAnsi="微软雅黑" w:eastAsia="微软雅黑"/>
          <w:snapToGrid w:val="0"/>
          <w:kern w:val="0"/>
          <w:szCs w:val="21"/>
          <w:lang w:eastAsia="zh-CN"/>
        </w:rPr>
        <w:t>供应链金融项目-网络设备采购</w:t>
      </w:r>
      <w:r>
        <w:rPr>
          <w:rFonts w:hint="eastAsia" w:ascii="微软雅黑" w:hAnsi="微软雅黑" w:eastAsia="微软雅黑"/>
          <w:snapToGrid w:val="0"/>
          <w:kern w:val="0"/>
          <w:szCs w:val="21"/>
        </w:rPr>
        <w:t>招标中涉及所有工作。</w:t>
      </w:r>
    </w:p>
    <w:p>
      <w:pPr>
        <w:numPr>
          <w:ilvl w:val="0"/>
          <w:numId w:val="17"/>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我们对招标文件中产品报价如下，后续采购价格不超过以下单价：</w:t>
      </w:r>
    </w:p>
    <w:p>
      <w:pPr>
        <w:pStyle w:val="53"/>
        <w:tabs>
          <w:tab w:val="left" w:pos="720"/>
        </w:tabs>
        <w:spacing w:line="300" w:lineRule="auto"/>
        <w:ind w:left="420" w:right="220" w:firstLine="0" w:firstLineChars="0"/>
        <w:jc w:val="right"/>
        <w:rPr>
          <w:rFonts w:ascii="微软雅黑" w:hAnsi="微软雅黑" w:eastAsia="微软雅黑"/>
          <w:snapToGrid w:val="0"/>
          <w:kern w:val="0"/>
          <w:szCs w:val="21"/>
        </w:rPr>
      </w:pPr>
      <w:r>
        <w:rPr>
          <w:rFonts w:hint="eastAsia" w:hAnsi="宋体"/>
          <w:sz w:val="22"/>
        </w:rPr>
        <w:t>[</w:t>
      </w:r>
      <w:r>
        <w:rPr>
          <w:rFonts w:hint="eastAsia" w:ascii="微软雅黑" w:hAnsi="微软雅黑" w:eastAsia="微软雅黑"/>
          <w:snapToGrid w:val="0"/>
          <w:kern w:val="0"/>
          <w:szCs w:val="21"/>
        </w:rPr>
        <w:t>货币单位：元人民币]</w:t>
      </w:r>
      <w:r>
        <w:rPr>
          <w:rFonts w:ascii="微软雅黑" w:hAnsi="微软雅黑" w:eastAsia="微软雅黑"/>
          <w:snapToGrid w:val="0"/>
          <w:kern w:val="0"/>
          <w:szCs w:val="21"/>
        </w:rPr>
        <w:fldChar w:fldCharType="begin"/>
      </w:r>
      <w:r>
        <w:rPr>
          <w:rFonts w:ascii="微软雅黑" w:hAnsi="微软雅黑" w:eastAsia="微软雅黑"/>
          <w:snapToGrid w:val="0"/>
          <w:kern w:val="0"/>
          <w:szCs w:val="21"/>
        </w:rPr>
        <w:instrText xml:space="preserve"> LINK Excel.Sheet.12 "D:\\LCCB\\2020年立项\\分支行外联\\2020-list分支行外联.xlsx" "报价!R1C1:R20C5" \a \f 4 \h </w:instrText>
      </w:r>
      <w:r>
        <w:rPr>
          <w:rFonts w:ascii="微软雅黑" w:hAnsi="微软雅黑" w:eastAsia="微软雅黑"/>
          <w:snapToGrid w:val="0"/>
          <w:kern w:val="0"/>
          <w:szCs w:val="21"/>
        </w:rPr>
        <w:fldChar w:fldCharType="separate"/>
      </w:r>
    </w:p>
    <w:tbl>
      <w:tblPr>
        <w:tblStyle w:val="32"/>
        <w:tblW w:w="10060" w:type="dxa"/>
        <w:tblInd w:w="0" w:type="dxa"/>
        <w:tblLayout w:type="fixed"/>
        <w:tblCellMar>
          <w:top w:w="0" w:type="dxa"/>
          <w:left w:w="108" w:type="dxa"/>
          <w:bottom w:w="0" w:type="dxa"/>
          <w:right w:w="108" w:type="dxa"/>
        </w:tblCellMar>
      </w:tblPr>
      <w:tblGrid>
        <w:gridCol w:w="660"/>
        <w:gridCol w:w="2454"/>
        <w:gridCol w:w="4678"/>
        <w:gridCol w:w="660"/>
        <w:gridCol w:w="1608"/>
      </w:tblGrid>
      <w:tr>
        <w:tblPrEx>
          <w:tblLayout w:type="fixed"/>
          <w:tblCellMar>
            <w:top w:w="0" w:type="dxa"/>
            <w:left w:w="108" w:type="dxa"/>
            <w:bottom w:w="0" w:type="dxa"/>
            <w:right w:w="108" w:type="dxa"/>
          </w:tblCellMar>
        </w:tblPrEx>
        <w:trPr>
          <w:trHeight w:val="315" w:hRule="atLeast"/>
        </w:trPr>
        <w:tc>
          <w:tcPr>
            <w:tcW w:w="660" w:type="dxa"/>
            <w:tcBorders>
              <w:top w:val="single" w:color="auto" w:sz="4" w:space="0"/>
              <w:left w:val="single" w:color="auto" w:sz="4" w:space="0"/>
              <w:bottom w:val="single" w:color="auto" w:sz="4" w:space="0"/>
              <w:right w:val="single" w:color="auto" w:sz="4" w:space="0"/>
            </w:tcBorders>
            <w:shd w:val="clear" w:color="000000" w:fill="A6A6A6"/>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序号</w:t>
            </w:r>
          </w:p>
        </w:tc>
        <w:tc>
          <w:tcPr>
            <w:tcW w:w="2454" w:type="dxa"/>
            <w:tcBorders>
              <w:top w:val="single" w:color="auto" w:sz="4" w:space="0"/>
              <w:left w:val="nil"/>
              <w:bottom w:val="single" w:color="auto" w:sz="4" w:space="0"/>
              <w:right w:val="single" w:color="auto" w:sz="4" w:space="0"/>
            </w:tcBorders>
            <w:shd w:val="clear" w:color="000000" w:fill="A6A6A6"/>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型号</w:t>
            </w:r>
          </w:p>
        </w:tc>
        <w:tc>
          <w:tcPr>
            <w:tcW w:w="4678" w:type="dxa"/>
            <w:tcBorders>
              <w:top w:val="single" w:color="auto" w:sz="4" w:space="0"/>
              <w:left w:val="nil"/>
              <w:bottom w:val="single" w:color="auto" w:sz="4" w:space="0"/>
              <w:right w:val="single" w:color="auto" w:sz="4" w:space="0"/>
            </w:tcBorders>
            <w:shd w:val="clear" w:color="000000" w:fill="A6A6A6"/>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产品要求（单台）</w:t>
            </w:r>
          </w:p>
        </w:tc>
        <w:tc>
          <w:tcPr>
            <w:tcW w:w="660" w:type="dxa"/>
            <w:tcBorders>
              <w:top w:val="single" w:color="auto" w:sz="4" w:space="0"/>
              <w:left w:val="nil"/>
              <w:bottom w:val="single" w:color="auto" w:sz="4" w:space="0"/>
              <w:right w:val="single" w:color="auto" w:sz="4" w:space="0"/>
            </w:tcBorders>
            <w:shd w:val="clear" w:color="000000" w:fill="A6A6A6"/>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数量</w:t>
            </w:r>
          </w:p>
        </w:tc>
        <w:tc>
          <w:tcPr>
            <w:tcW w:w="1608" w:type="dxa"/>
            <w:tcBorders>
              <w:top w:val="single" w:color="auto" w:sz="4" w:space="0"/>
              <w:left w:val="nil"/>
              <w:bottom w:val="single" w:color="auto" w:sz="4" w:space="0"/>
              <w:right w:val="single" w:color="auto" w:sz="4" w:space="0"/>
            </w:tcBorders>
            <w:shd w:val="clear" w:color="000000" w:fill="A6A6A6"/>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价格</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Cs w:val="21"/>
              </w:rPr>
            </w:pPr>
          </w:p>
          <w:p>
            <w:pPr>
              <w:widowControl/>
              <w:jc w:val="center"/>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1</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16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pStyle w:val="2"/>
              <w:ind w:left="0" w:leftChars="0"/>
              <w:jc w:val="center"/>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2</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1608"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pStyle w:val="2"/>
              <w:ind w:left="0" w:leftChars="0"/>
              <w:jc w:val="center"/>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3</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1608"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4</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1608"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5</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1608"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6</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p>
        </w:tc>
        <w:tc>
          <w:tcPr>
            <w:tcW w:w="1608"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345" w:hRule="atLeast"/>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kern w:val="0"/>
                <w:szCs w:val="21"/>
              </w:rPr>
            </w:pPr>
            <w:r>
              <w:rPr>
                <w:rFonts w:hint="eastAsia" w:ascii="微软雅黑" w:hAnsi="微软雅黑" w:eastAsia="微软雅黑" w:cs="宋体"/>
                <w:kern w:val="0"/>
                <w:szCs w:val="21"/>
              </w:rPr>
              <w:t>其他如有</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345" w:hRule="atLeast"/>
        </w:trPr>
        <w:tc>
          <w:tcPr>
            <w:tcW w:w="311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kern w:val="0"/>
                <w:szCs w:val="21"/>
              </w:rPr>
            </w:pPr>
            <w:r>
              <w:rPr>
                <w:rFonts w:hint="eastAsia" w:ascii="微软雅黑" w:hAnsi="微软雅黑" w:eastAsia="微软雅黑" w:cs="宋体"/>
                <w:kern w:val="0"/>
                <w:szCs w:val="21"/>
              </w:rPr>
              <w:t>合计</w:t>
            </w:r>
          </w:p>
        </w:tc>
        <w:tc>
          <w:tcPr>
            <w:tcW w:w="4678" w:type="dxa"/>
            <w:tcBorders>
              <w:top w:val="nil"/>
              <w:left w:val="nil"/>
              <w:bottom w:val="single" w:color="auto" w:sz="4" w:space="0"/>
              <w:right w:val="single" w:color="auto" w:sz="4" w:space="0"/>
            </w:tcBorders>
            <w:shd w:val="clear" w:color="auto" w:fill="auto"/>
            <w:vAlign w:val="bottom"/>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小写</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345" w:hRule="atLeast"/>
        </w:trPr>
        <w:tc>
          <w:tcPr>
            <w:tcW w:w="311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微软雅黑" w:hAnsi="微软雅黑" w:eastAsia="微软雅黑" w:cs="宋体"/>
                <w:kern w:val="0"/>
                <w:szCs w:val="21"/>
              </w:rPr>
            </w:pPr>
          </w:p>
        </w:tc>
        <w:tc>
          <w:tcPr>
            <w:tcW w:w="4678" w:type="dxa"/>
            <w:tcBorders>
              <w:top w:val="nil"/>
              <w:left w:val="nil"/>
              <w:bottom w:val="single" w:color="auto" w:sz="4" w:space="0"/>
              <w:right w:val="single" w:color="auto" w:sz="4" w:space="0"/>
            </w:tcBorders>
            <w:shd w:val="clear" w:color="auto" w:fill="auto"/>
            <w:vAlign w:val="bottom"/>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大写</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bl>
    <w:p>
      <w:pPr>
        <w:pStyle w:val="53"/>
        <w:tabs>
          <w:tab w:val="left" w:pos="720"/>
        </w:tabs>
        <w:spacing w:line="300" w:lineRule="auto"/>
        <w:ind w:right="430" w:firstLineChars="0"/>
        <w:jc w:val="left"/>
        <w:rPr>
          <w:rFonts w:ascii="微软雅黑" w:hAnsi="微软雅黑" w:eastAsia="微软雅黑"/>
          <w:snapToGrid w:val="0"/>
          <w:kern w:val="0"/>
          <w:szCs w:val="21"/>
        </w:rPr>
      </w:pPr>
      <w:r>
        <w:rPr>
          <w:rFonts w:ascii="微软雅黑" w:hAnsi="微软雅黑" w:eastAsia="微软雅黑"/>
          <w:snapToGrid w:val="0"/>
          <w:kern w:val="0"/>
          <w:szCs w:val="21"/>
        </w:rPr>
        <w:fldChar w:fldCharType="end"/>
      </w:r>
      <w:r>
        <w:rPr>
          <w:rFonts w:hint="eastAsia" w:ascii="微软雅黑" w:hAnsi="微软雅黑" w:eastAsia="微软雅黑"/>
          <w:snapToGrid w:val="0"/>
          <w:kern w:val="0"/>
          <w:szCs w:val="21"/>
        </w:rPr>
        <w:t>我们同意本投标书的有效期为投标截止时间后90个日历天内，在此期限届满之前，本投标书始终对我们有约束力，并可在随时予以接纳。</w:t>
      </w:r>
    </w:p>
    <w:p>
      <w:pPr>
        <w:numPr>
          <w:ilvl w:val="0"/>
          <w:numId w:val="17"/>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直至另行签署合作协议为止，本投标书由招标人在有效期内接纳后便成为合作协议之有效组成部分，具有有效的约束力。</w:t>
      </w:r>
    </w:p>
    <w:p>
      <w:pPr>
        <w:numPr>
          <w:ilvl w:val="0"/>
          <w:numId w:val="17"/>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我们</w:t>
      </w:r>
      <w:r>
        <w:rPr>
          <w:rFonts w:ascii="微软雅黑" w:hAnsi="微软雅黑" w:eastAsia="微软雅黑"/>
          <w:snapToGrid w:val="0"/>
          <w:kern w:val="0"/>
          <w:szCs w:val="21"/>
        </w:rPr>
        <w:t>确认</w:t>
      </w:r>
      <w:r>
        <w:rPr>
          <w:rFonts w:hint="eastAsia" w:ascii="微软雅黑" w:hAnsi="微软雅黑" w:eastAsia="微软雅黑"/>
          <w:snapToGrid w:val="0"/>
          <w:kern w:val="0"/>
          <w:szCs w:val="21"/>
        </w:rPr>
        <w:t>本项目提供自最终验收合格后的</w:t>
      </w:r>
      <w:r>
        <w:rPr>
          <w:rFonts w:ascii="微软雅黑" w:hAnsi="微软雅黑" w:eastAsia="微软雅黑"/>
          <w:b/>
          <w:snapToGrid w:val="0"/>
          <w:kern w:val="0"/>
          <w:szCs w:val="21"/>
        </w:rPr>
        <w:t>36</w:t>
      </w:r>
      <w:r>
        <w:rPr>
          <w:rFonts w:hint="eastAsia" w:ascii="微软雅黑" w:hAnsi="微软雅黑" w:eastAsia="微软雅黑"/>
          <w:b/>
          <w:snapToGrid w:val="0"/>
          <w:kern w:val="0"/>
          <w:szCs w:val="21"/>
          <w:lang w:val="en-US" w:eastAsia="zh-CN"/>
        </w:rPr>
        <w:t>个月</w:t>
      </w:r>
      <w:r>
        <w:rPr>
          <w:rFonts w:hint="eastAsia" w:ascii="微软雅黑" w:hAnsi="微软雅黑" w:eastAsia="微软雅黑"/>
          <w:snapToGrid w:val="0"/>
          <w:kern w:val="0"/>
          <w:szCs w:val="21"/>
        </w:rPr>
        <w:t>免费升级保修服务。</w:t>
      </w:r>
    </w:p>
    <w:p>
      <w:pPr>
        <w:numPr>
          <w:ilvl w:val="0"/>
          <w:numId w:val="17"/>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我们理解所提供产品和服务与招标人期望无偏差时，只进行一次报价。</w:t>
      </w:r>
    </w:p>
    <w:p>
      <w:pPr>
        <w:numPr>
          <w:ilvl w:val="0"/>
          <w:numId w:val="17"/>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我们确认本投标书已考虑招标人已向我们发出的关于招标文件的修改通知及所有相关补充文件。</w:t>
      </w:r>
    </w:p>
    <w:p>
      <w:pPr>
        <w:numPr>
          <w:ilvl w:val="0"/>
          <w:numId w:val="17"/>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我们理解招标人不一定要接受最低的投标书或迟到的任何投标文件，亦不会解释选择或否决任何投标书的原因。</w:t>
      </w:r>
    </w:p>
    <w:p>
      <w:pPr>
        <w:spacing w:line="440" w:lineRule="exact"/>
        <w:ind w:firstLine="595"/>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投标单位名称：</w:t>
      </w:r>
      <w:r>
        <w:rPr>
          <w:rFonts w:ascii="微软雅黑" w:hAnsi="微软雅黑" w:eastAsia="微软雅黑"/>
          <w:snapToGrid w:val="0"/>
          <w:kern w:val="0"/>
          <w:szCs w:val="21"/>
          <w:u w:val="single"/>
        </w:rPr>
        <w:br w:type="textWrapping"/>
      </w:r>
      <w:r>
        <w:rPr>
          <w:rFonts w:hint="eastAsia" w:ascii="微软雅黑" w:hAnsi="微软雅黑" w:eastAsia="微软雅黑"/>
          <w:snapToGrid w:val="0"/>
          <w:kern w:val="0"/>
          <w:szCs w:val="21"/>
        </w:rPr>
        <w:t xml:space="preserve">    （加盖公章）</w:t>
      </w:r>
    </w:p>
    <w:p>
      <w:pPr>
        <w:spacing w:line="440" w:lineRule="exact"/>
        <w:ind w:firstLine="595"/>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法定地址：</w:t>
      </w:r>
    </w:p>
    <w:p>
      <w:pPr>
        <w:spacing w:line="440" w:lineRule="exact"/>
        <w:ind w:firstLine="595"/>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 xml:space="preserve">联系电话：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传真：</w:t>
      </w:r>
    </w:p>
    <w:p>
      <w:pPr>
        <w:spacing w:line="440" w:lineRule="exact"/>
        <w:ind w:left="560"/>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法定代表人：</w:t>
      </w:r>
    </w:p>
    <w:p>
      <w:pPr>
        <w:spacing w:line="440" w:lineRule="exact"/>
        <w:ind w:left="56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或获授权代表签署：</w:t>
      </w:r>
    </w:p>
    <w:p>
      <w:pPr>
        <w:spacing w:line="440" w:lineRule="exact"/>
        <w:ind w:firstLine="595"/>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正楷书写姓名：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职位：</w:t>
      </w:r>
    </w:p>
    <w:p>
      <w:pPr>
        <w:pStyle w:val="4"/>
        <w:spacing w:before="0" w:after="0" w:line="440" w:lineRule="exact"/>
        <w:rPr>
          <w:rFonts w:ascii="微软雅黑" w:hAnsi="微软雅黑" w:eastAsia="微软雅黑"/>
          <w:sz w:val="21"/>
          <w:szCs w:val="21"/>
        </w:rPr>
      </w:pPr>
      <w:bookmarkStart w:id="49" w:name="_Toc298237725"/>
      <w:bookmarkStart w:id="50" w:name="_Toc1440"/>
      <w:bookmarkStart w:id="51" w:name="_Toc267921554"/>
      <w:r>
        <w:rPr>
          <w:rFonts w:hint="eastAsia" w:ascii="微软雅黑" w:hAnsi="微软雅黑" w:eastAsia="微软雅黑"/>
          <w:sz w:val="21"/>
          <w:szCs w:val="21"/>
        </w:rPr>
        <w:t>附录四：商务偏离表</w:t>
      </w:r>
      <w:bookmarkEnd w:id="49"/>
      <w:bookmarkEnd w:id="50"/>
      <w:bookmarkEnd w:id="51"/>
    </w:p>
    <w:p>
      <w:pPr>
        <w:pStyle w:val="46"/>
        <w:rPr>
          <w:rFonts w:ascii="微软雅黑" w:hAnsi="微软雅黑" w:eastAsia="微软雅黑"/>
        </w:rPr>
      </w:pPr>
    </w:p>
    <w:tbl>
      <w:tblPr>
        <w:tblStyle w:val="32"/>
        <w:tblpPr w:leftFromText="180" w:rightFromText="180" w:vertAnchor="text" w:tblpY="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268"/>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4361" w:type="dxa"/>
            <w:gridSpan w:val="2"/>
            <w:tcBorders>
              <w:bottom w:val="single" w:color="auto" w:sz="4" w:space="0"/>
            </w:tcBorders>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页号及条款编号</w:t>
            </w:r>
          </w:p>
        </w:tc>
        <w:tc>
          <w:tcPr>
            <w:tcW w:w="1843" w:type="dxa"/>
            <w:vMerge w:val="restart"/>
            <w:shd w:val="pct10" w:color="auto" w:fill="auto"/>
            <w:vAlign w:val="center"/>
          </w:tcPr>
          <w:p>
            <w:pPr>
              <w:spacing w:line="440" w:lineRule="exact"/>
              <w:jc w:val="left"/>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招标文件要求</w:t>
            </w:r>
          </w:p>
        </w:tc>
        <w:tc>
          <w:tcPr>
            <w:tcW w:w="1842" w:type="dxa"/>
            <w:vMerge w:val="restart"/>
            <w:shd w:val="pct10" w:color="auto" w:fill="auto"/>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与招标文件存在的偏差</w:t>
            </w:r>
          </w:p>
        </w:tc>
        <w:tc>
          <w:tcPr>
            <w:tcW w:w="1701" w:type="dxa"/>
            <w:vMerge w:val="restart"/>
            <w:shd w:val="pct10" w:color="auto" w:fill="auto"/>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093" w:type="dxa"/>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w:t>
            </w:r>
          </w:p>
        </w:tc>
        <w:tc>
          <w:tcPr>
            <w:tcW w:w="2268" w:type="dxa"/>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投标文件</w:t>
            </w:r>
          </w:p>
        </w:tc>
        <w:tc>
          <w:tcPr>
            <w:tcW w:w="1843" w:type="dxa"/>
            <w:vMerge w:val="continue"/>
            <w:vAlign w:val="bottom"/>
          </w:tcPr>
          <w:p>
            <w:pPr>
              <w:spacing w:line="440" w:lineRule="exact"/>
              <w:jc w:val="left"/>
              <w:rPr>
                <w:rFonts w:ascii="微软雅黑" w:hAnsi="微软雅黑" w:eastAsia="微软雅黑"/>
                <w:b/>
                <w:snapToGrid w:val="0"/>
                <w:kern w:val="0"/>
                <w:szCs w:val="21"/>
              </w:rPr>
            </w:pPr>
          </w:p>
        </w:tc>
        <w:tc>
          <w:tcPr>
            <w:tcW w:w="1842" w:type="dxa"/>
            <w:vMerge w:val="continue"/>
            <w:vAlign w:val="bottom"/>
          </w:tcPr>
          <w:p>
            <w:pPr>
              <w:spacing w:line="440" w:lineRule="exact"/>
              <w:jc w:val="center"/>
              <w:rPr>
                <w:rFonts w:ascii="微软雅黑" w:hAnsi="微软雅黑" w:eastAsia="微软雅黑"/>
                <w:b/>
                <w:snapToGrid w:val="0"/>
                <w:kern w:val="0"/>
                <w:szCs w:val="21"/>
              </w:rPr>
            </w:pPr>
          </w:p>
        </w:tc>
        <w:tc>
          <w:tcPr>
            <w:tcW w:w="1701" w:type="dxa"/>
            <w:vMerge w:val="continue"/>
            <w:vAlign w:val="bottom"/>
          </w:tcPr>
          <w:p>
            <w:pPr>
              <w:spacing w:line="440" w:lineRule="exact"/>
              <w:jc w:val="left"/>
              <w:rPr>
                <w:rFonts w:ascii="微软雅黑" w:hAnsi="微软雅黑" w:eastAsia="微软雅黑"/>
                <w:b/>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jc w:val="lef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jc w:val="left"/>
              <w:rPr>
                <w:rFonts w:ascii="微软雅黑" w:hAnsi="微软雅黑" w:eastAsia="微软雅黑"/>
                <w:snapToGrid w:val="0"/>
                <w:kern w:val="0"/>
                <w:szCs w:val="21"/>
              </w:rPr>
            </w:pPr>
          </w:p>
        </w:tc>
      </w:tr>
    </w:tbl>
    <w:p>
      <w:pPr>
        <w:spacing w:line="440" w:lineRule="exact"/>
        <w:jc w:val="left"/>
        <w:rPr>
          <w:rFonts w:ascii="微软雅黑" w:hAnsi="微软雅黑" w:eastAsia="微软雅黑"/>
          <w:snapToGrid w:val="0"/>
          <w:kern w:val="0"/>
          <w:szCs w:val="21"/>
        </w:rPr>
        <w:sectPr>
          <w:pgSz w:w="11909" w:h="16834"/>
          <w:pgMar w:top="1440" w:right="1134" w:bottom="1440" w:left="1134" w:header="720" w:footer="720" w:gutter="0"/>
          <w:pgNumType w:fmt="decimalFullWidth"/>
          <w:cols w:space="720" w:num="1"/>
          <w:docGrid w:linePitch="286" w:charSpace="0"/>
        </w:sectPr>
      </w:pPr>
    </w:p>
    <w:p>
      <w:pPr>
        <w:pStyle w:val="4"/>
        <w:spacing w:before="0" w:after="0" w:line="440" w:lineRule="exact"/>
        <w:rPr>
          <w:rFonts w:ascii="微软雅黑" w:hAnsi="微软雅黑" w:eastAsia="微软雅黑"/>
          <w:sz w:val="21"/>
          <w:szCs w:val="21"/>
        </w:rPr>
      </w:pPr>
      <w:bookmarkStart w:id="52" w:name="_Toc421718120"/>
      <w:bookmarkStart w:id="53" w:name="_Toc32646"/>
      <w:bookmarkStart w:id="54" w:name="_Toc267939541"/>
      <w:bookmarkStart w:id="55" w:name="_Toc267921557"/>
      <w:bookmarkStart w:id="56" w:name="_Toc385419748"/>
      <w:r>
        <w:rPr>
          <w:rFonts w:hint="eastAsia" w:ascii="微软雅黑" w:hAnsi="微软雅黑" w:eastAsia="微软雅黑"/>
          <w:sz w:val="21"/>
          <w:szCs w:val="21"/>
        </w:rPr>
        <w:t>附录五：承诺书</w:t>
      </w:r>
      <w:bookmarkEnd w:id="52"/>
      <w:bookmarkEnd w:id="53"/>
    </w:p>
    <w:p>
      <w:pPr>
        <w:spacing w:line="300" w:lineRule="auto"/>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致：  </w:t>
      </w:r>
      <w:r>
        <w:rPr>
          <w:rFonts w:hint="eastAsia" w:ascii="微软雅黑" w:hAnsi="微软雅黑" w:eastAsia="微软雅黑"/>
          <w:snapToGrid w:val="0"/>
          <w:kern w:val="0"/>
          <w:szCs w:val="21"/>
          <w:u w:val="single"/>
        </w:rPr>
        <w:t xml:space="preserve">廊坊银行股份有限公司 </w:t>
      </w:r>
      <w:r>
        <w:rPr>
          <w:rFonts w:ascii="微软雅黑" w:hAnsi="微软雅黑" w:eastAsia="微软雅黑"/>
          <w:snapToGrid w:val="0"/>
          <w:kern w:val="0"/>
          <w:szCs w:val="21"/>
        </w:rPr>
        <w:t>(招标人名称)：</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对于贵公司组织的</w:t>
      </w:r>
      <w:r>
        <w:rPr>
          <w:rFonts w:ascii="微软雅黑" w:hAnsi="微软雅黑" w:eastAsia="微软雅黑"/>
          <w:snapToGrid w:val="0"/>
          <w:kern w:val="0"/>
          <w:szCs w:val="21"/>
        </w:rPr>
        <w:t>(</w:t>
      </w:r>
      <w:r>
        <w:rPr>
          <w:rFonts w:hint="eastAsia" w:ascii="微软雅黑" w:hAnsi="微软雅黑" w:eastAsia="微软雅黑"/>
          <w:snapToGrid w:val="0"/>
          <w:kern w:val="0"/>
          <w:szCs w:val="21"/>
        </w:rPr>
        <w:t>项目名称</w:t>
      </w:r>
      <w:r>
        <w:rPr>
          <w:rFonts w:ascii="微软雅黑" w:hAnsi="微软雅黑" w:eastAsia="微软雅黑"/>
          <w:snapToGrid w:val="0"/>
          <w:kern w:val="0"/>
          <w:szCs w:val="21"/>
        </w:rPr>
        <w:t>)</w:t>
      </w:r>
      <w:r>
        <w:rPr>
          <w:rFonts w:hint="eastAsia" w:ascii="微软雅黑" w:hAnsi="微软雅黑" w:eastAsia="微软雅黑"/>
          <w:snapToGrid w:val="0"/>
          <w:kern w:val="0"/>
          <w:szCs w:val="21"/>
        </w:rPr>
        <w:t>的招标活动，我方在参与过程中将严格遵守政府采购法的相关规定和招标文件要求，郑重承诺如下</w:t>
      </w:r>
      <w:r>
        <w:rPr>
          <w:rFonts w:ascii="微软雅黑" w:hAnsi="微软雅黑" w:eastAsia="微软雅黑"/>
          <w:snapToGrid w:val="0"/>
          <w:kern w:val="0"/>
          <w:szCs w:val="21"/>
        </w:rPr>
        <w:t>：</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1、我方接受招标文件的全部条款及内容，未经招标方允许，不对招标文件条款及内容提出异议。若有违反，同意被废除投标资格并接受处罚。</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2</w:t>
      </w:r>
      <w:r>
        <w:rPr>
          <w:rFonts w:ascii="微软雅黑" w:hAnsi="微软雅黑" w:eastAsia="微软雅黑"/>
          <w:snapToGrid w:val="0"/>
          <w:kern w:val="0"/>
          <w:szCs w:val="21"/>
        </w:rPr>
        <w:t>、</w:t>
      </w:r>
      <w:r>
        <w:rPr>
          <w:rFonts w:hint="eastAsia" w:ascii="微软雅黑" w:hAnsi="微软雅黑" w:eastAsia="微软雅黑"/>
          <w:snapToGrid w:val="0"/>
          <w:kern w:val="0"/>
          <w:szCs w:val="21"/>
        </w:rPr>
        <w:t>所附报价表中规定的总投标价为（大写）：</w:t>
      </w:r>
      <w:r>
        <w:rPr>
          <w:rFonts w:hint="eastAsia" w:ascii="微软雅黑" w:hAnsi="微软雅黑" w:eastAsia="微软雅黑"/>
          <w:snapToGrid w:val="0"/>
          <w:kern w:val="0"/>
          <w:szCs w:val="21"/>
          <w:u w:val="single"/>
        </w:rPr>
        <w:t xml:space="preserve">          </w:t>
      </w:r>
      <w:r>
        <w:rPr>
          <w:rFonts w:hint="eastAsia" w:ascii="微软雅黑" w:hAnsi="微软雅黑" w:eastAsia="微软雅黑"/>
          <w:snapToGrid w:val="0"/>
          <w:kern w:val="0"/>
          <w:szCs w:val="21"/>
        </w:rPr>
        <w:t>元人民币，此投标报价包含项目的所有费用。</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3</w:t>
      </w:r>
      <w:r>
        <w:rPr>
          <w:rFonts w:ascii="微软雅黑" w:hAnsi="微软雅黑" w:eastAsia="微软雅黑"/>
          <w:snapToGrid w:val="0"/>
          <w:kern w:val="0"/>
          <w:szCs w:val="21"/>
        </w:rPr>
        <w:t>、</w:t>
      </w:r>
      <w:r>
        <w:rPr>
          <w:rFonts w:hint="eastAsia" w:ascii="微软雅黑" w:hAnsi="微软雅黑" w:eastAsia="微软雅黑"/>
          <w:snapToGrid w:val="0"/>
          <w:kern w:val="0"/>
          <w:szCs w:val="21"/>
        </w:rPr>
        <w:t>所提供投标文件的全部资料真实、可信。招标方拥有我方提交的投标文件（含电子文档）全部内容的知识产权；未经招标方同意，我方不会将有关内容透漏给第三方。</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4</w:t>
      </w:r>
      <w:r>
        <w:rPr>
          <w:rFonts w:ascii="微软雅黑" w:hAnsi="微软雅黑" w:eastAsia="微软雅黑"/>
          <w:snapToGrid w:val="0"/>
          <w:kern w:val="0"/>
          <w:szCs w:val="21"/>
        </w:rPr>
        <w:t>、</w:t>
      </w:r>
      <w:r>
        <w:rPr>
          <w:rFonts w:hint="eastAsia" w:ascii="微软雅黑" w:hAnsi="微软雅黑" w:eastAsia="微软雅黑"/>
          <w:snapToGrid w:val="0"/>
          <w:kern w:val="0"/>
          <w:szCs w:val="21"/>
        </w:rPr>
        <w:t>承担根据招标文件的规定，保证忠实地执行双方所签的经济合同， 并承担合同规定的责任义务。</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5</w:t>
      </w:r>
      <w:r>
        <w:rPr>
          <w:rFonts w:ascii="微软雅黑" w:hAnsi="微软雅黑" w:eastAsia="微软雅黑"/>
          <w:snapToGrid w:val="0"/>
          <w:kern w:val="0"/>
          <w:szCs w:val="21"/>
        </w:rPr>
        <w:t>、</w:t>
      </w:r>
      <w:r>
        <w:rPr>
          <w:rFonts w:hint="eastAsia" w:ascii="微软雅黑" w:hAnsi="微软雅黑" w:eastAsia="微软雅黑"/>
          <w:snapToGrid w:val="0"/>
          <w:kern w:val="0"/>
          <w:szCs w:val="21"/>
        </w:rPr>
        <w:t>本投标书在招标文件中规定的投标日期起，在招标文件规定的投标有效期满之前均具有约束力。</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6</w:t>
      </w:r>
      <w:r>
        <w:rPr>
          <w:rFonts w:ascii="微软雅黑" w:hAnsi="微软雅黑" w:eastAsia="微软雅黑"/>
          <w:snapToGrid w:val="0"/>
          <w:kern w:val="0"/>
          <w:szCs w:val="21"/>
        </w:rPr>
        <w:t>、</w:t>
      </w:r>
      <w:r>
        <w:rPr>
          <w:rFonts w:hint="eastAsia" w:ascii="微软雅黑" w:hAnsi="微软雅黑" w:eastAsia="微软雅黑"/>
          <w:snapToGrid w:val="0"/>
          <w:kern w:val="0"/>
          <w:szCs w:val="21"/>
        </w:rPr>
        <w:t>愿意向招标方提供任何与本次投标有关的数据、情况和技术资料。</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7</w:t>
      </w:r>
      <w:r>
        <w:rPr>
          <w:rFonts w:ascii="微软雅黑" w:hAnsi="微软雅黑" w:eastAsia="微软雅黑"/>
          <w:snapToGrid w:val="0"/>
          <w:kern w:val="0"/>
          <w:szCs w:val="21"/>
        </w:rPr>
        <w:t>、</w:t>
      </w:r>
      <w:r>
        <w:rPr>
          <w:rFonts w:hint="eastAsia" w:ascii="微软雅黑" w:hAnsi="微软雅黑" w:eastAsia="微软雅黑"/>
          <w:snapToGrid w:val="0"/>
          <w:kern w:val="0"/>
          <w:szCs w:val="21"/>
        </w:rPr>
        <w:t>保证不论中标与否，自愿自行承担投标过程中发生的一切费用。</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8</w:t>
      </w:r>
      <w:r>
        <w:rPr>
          <w:rFonts w:ascii="微软雅黑" w:hAnsi="微软雅黑" w:eastAsia="微软雅黑"/>
          <w:snapToGrid w:val="0"/>
          <w:kern w:val="0"/>
          <w:szCs w:val="21"/>
        </w:rPr>
        <w:t>、</w:t>
      </w:r>
      <w:r>
        <w:rPr>
          <w:rFonts w:hint="eastAsia" w:ascii="微软雅黑" w:hAnsi="微软雅黑" w:eastAsia="微软雅黑"/>
          <w:snapToGrid w:val="0"/>
          <w:kern w:val="0"/>
          <w:szCs w:val="21"/>
        </w:rPr>
        <w:t>完全理解招标人不授标给最低报价的投标人的决定，并且理解招标人接受或拒绝某一投标的决定。</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9</w:t>
      </w:r>
      <w:r>
        <w:rPr>
          <w:rFonts w:ascii="微软雅黑" w:hAnsi="微软雅黑" w:eastAsia="微软雅黑"/>
          <w:snapToGrid w:val="0"/>
          <w:kern w:val="0"/>
          <w:szCs w:val="21"/>
        </w:rPr>
        <w:t>、</w:t>
      </w:r>
      <w:r>
        <w:rPr>
          <w:rFonts w:hint="eastAsia" w:ascii="微软雅黑" w:hAnsi="微软雅黑" w:eastAsia="微软雅黑"/>
          <w:snapToGrid w:val="0"/>
          <w:kern w:val="0"/>
          <w:szCs w:val="21"/>
        </w:rPr>
        <w:t xml:space="preserve">如我方中标，我方保证派出合格的实施团队(项目负责人姓名：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 xml:space="preserve">身份证号：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 xml:space="preserve">  )，在合同约定的期限内，按时保质保量地完成本项目的全部工作。同时，我方保证在签订合同后   天内设计完成项目实施计划和实施细则，并得到贵方的认可。我方保证按照经过贵公司认可的计划和实施细则开展工作，决不挂靠承揽或转包本项目的工程任务。</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10、我方若违反上述承诺之一的，愿承担一切责任并接受有关处罚。</w:t>
      </w:r>
    </w:p>
    <w:p>
      <w:pPr>
        <w:tabs>
          <w:tab w:val="left" w:pos="4920"/>
        </w:tabs>
        <w:spacing w:line="300" w:lineRule="auto"/>
        <w:ind w:left="480"/>
        <w:rPr>
          <w:rFonts w:ascii="微软雅黑" w:hAnsi="微软雅黑" w:eastAsia="微软雅黑"/>
          <w:snapToGrid w:val="0"/>
          <w:kern w:val="0"/>
          <w:szCs w:val="21"/>
        </w:rPr>
      </w:pPr>
      <w:r>
        <w:rPr>
          <w:rFonts w:ascii="微软雅黑" w:hAnsi="微软雅黑" w:eastAsia="微软雅黑"/>
          <w:snapToGrid w:val="0"/>
          <w:kern w:val="0"/>
          <w:szCs w:val="21"/>
        </w:rPr>
        <w:t>投标人全称(盖章)：</w:t>
      </w:r>
      <w:r>
        <w:rPr>
          <w:rFonts w:ascii="微软雅黑" w:hAnsi="微软雅黑" w:eastAsia="微软雅黑"/>
          <w:snapToGrid w:val="0"/>
          <w:kern w:val="0"/>
          <w:szCs w:val="21"/>
        </w:rPr>
        <w:tab/>
      </w:r>
    </w:p>
    <w:p>
      <w:pPr>
        <w:spacing w:line="300" w:lineRule="auto"/>
        <w:ind w:left="480"/>
        <w:rPr>
          <w:rFonts w:ascii="微软雅黑" w:hAnsi="微软雅黑" w:eastAsia="微软雅黑"/>
          <w:snapToGrid w:val="0"/>
          <w:kern w:val="0"/>
          <w:szCs w:val="21"/>
        </w:rPr>
      </w:pPr>
    </w:p>
    <w:p>
      <w:pPr>
        <w:tabs>
          <w:tab w:val="left" w:pos="4920"/>
        </w:tabs>
        <w:spacing w:line="300" w:lineRule="auto"/>
        <w:ind w:left="480"/>
        <w:rPr>
          <w:rFonts w:ascii="微软雅黑" w:hAnsi="微软雅黑" w:eastAsia="微软雅黑"/>
          <w:snapToGrid w:val="0"/>
          <w:kern w:val="0"/>
          <w:szCs w:val="21"/>
        </w:rPr>
      </w:pPr>
      <w:r>
        <w:rPr>
          <w:rFonts w:ascii="微软雅黑" w:hAnsi="微软雅黑" w:eastAsia="微软雅黑"/>
          <w:snapToGrid w:val="0"/>
          <w:kern w:val="0"/>
          <w:szCs w:val="21"/>
        </w:rPr>
        <w:t>全权代表(签字)：</w:t>
      </w:r>
      <w:r>
        <w:rPr>
          <w:rFonts w:ascii="微软雅黑" w:hAnsi="微软雅黑" w:eastAsia="微软雅黑"/>
          <w:snapToGrid w:val="0"/>
          <w:kern w:val="0"/>
          <w:szCs w:val="21"/>
        </w:rPr>
        <w:tab/>
      </w:r>
    </w:p>
    <w:p>
      <w:pPr>
        <w:tabs>
          <w:tab w:val="left" w:pos="4920"/>
        </w:tabs>
        <w:spacing w:line="300" w:lineRule="auto"/>
        <w:ind w:left="480"/>
        <w:rPr>
          <w:rFonts w:ascii="微软雅黑" w:hAnsi="微软雅黑" w:eastAsia="微软雅黑"/>
          <w:snapToGrid w:val="0"/>
          <w:kern w:val="0"/>
          <w:szCs w:val="21"/>
        </w:rPr>
      </w:pPr>
      <w:r>
        <w:rPr>
          <w:rFonts w:hint="eastAsia" w:ascii="微软雅黑" w:hAnsi="微软雅黑" w:eastAsia="微软雅黑"/>
          <w:snapToGrid w:val="0"/>
          <w:kern w:val="0"/>
          <w:szCs w:val="21"/>
        </w:rPr>
        <w:t>日期：</w:t>
      </w:r>
    </w:p>
    <w:p>
      <w:pPr>
        <w:tabs>
          <w:tab w:val="left" w:pos="4920"/>
        </w:tabs>
        <w:spacing w:line="300" w:lineRule="auto"/>
        <w:ind w:left="480"/>
        <w:rPr>
          <w:rFonts w:ascii="微软雅黑" w:hAnsi="微软雅黑" w:eastAsia="微软雅黑"/>
          <w:snapToGrid w:val="0"/>
          <w:kern w:val="0"/>
          <w:szCs w:val="21"/>
        </w:rPr>
      </w:pPr>
    </w:p>
    <w:p>
      <w:pPr>
        <w:widowControl/>
        <w:jc w:val="left"/>
      </w:pPr>
      <w:r>
        <w:br w:type="page"/>
      </w:r>
    </w:p>
    <w:p/>
    <w:p>
      <w:pPr>
        <w:pStyle w:val="24"/>
        <w:numPr>
          <w:ilvl w:val="0"/>
          <w:numId w:val="15"/>
        </w:numPr>
        <w:jc w:val="left"/>
        <w:rPr>
          <w:rFonts w:ascii="微软雅黑" w:hAnsi="微软雅黑" w:eastAsia="微软雅黑"/>
          <w:sz w:val="24"/>
          <w:szCs w:val="24"/>
        </w:rPr>
      </w:pPr>
      <w:bookmarkStart w:id="57" w:name="_Toc25170"/>
      <w:r>
        <w:rPr>
          <w:rFonts w:hint="eastAsia" w:ascii="微软雅黑" w:hAnsi="微软雅黑" w:eastAsia="微软雅黑"/>
          <w:sz w:val="24"/>
          <w:szCs w:val="24"/>
        </w:rPr>
        <w:t>投标文件（技术标格式）</w:t>
      </w:r>
      <w:bookmarkEnd w:id="54"/>
      <w:bookmarkEnd w:id="55"/>
      <w:bookmarkEnd w:id="56"/>
      <w:bookmarkEnd w:id="57"/>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投标人提供的项目总体技术方案（内容要求以招标文件第四部分项目技术标准的要求为准）</w:t>
      </w:r>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投标人针对之前实施过的类似项目与本项目相似度的技术说明方案</w:t>
      </w:r>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投标人最近三年已完成（或正在实施的）与招标内容类似项目一览表（详见附录六）</w:t>
      </w:r>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投标人承担本项目主要专业技术人员一览表（详见附录七）</w:t>
      </w:r>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投标人针对本项目制定的详细开发计划及具体工期表，工期计划中包括测试与发布阶段工作</w:t>
      </w:r>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投标人针对本项目的详细后期维护标准及维护方案（包括但不限于招标文件中的维护标准及维护要求）</w:t>
      </w:r>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技术规格偏离表（详见附录八）</w:t>
      </w:r>
    </w:p>
    <w:p>
      <w:pPr>
        <w:numPr>
          <w:ilvl w:val="0"/>
          <w:numId w:val="18"/>
        </w:numPr>
        <w:spacing w:line="440" w:lineRule="exact"/>
        <w:jc w:val="left"/>
        <w:rPr>
          <w:rFonts w:ascii="微软雅黑" w:hAnsi="微软雅黑" w:eastAsia="微软雅黑"/>
          <w:szCs w:val="21"/>
        </w:rPr>
      </w:pPr>
      <w:r>
        <w:rPr>
          <w:rFonts w:hint="eastAsia" w:ascii="微软雅黑" w:hAnsi="微软雅黑" w:eastAsia="微软雅黑"/>
          <w:szCs w:val="21"/>
        </w:rPr>
        <w:t>资质证明材料</w:t>
      </w:r>
    </w:p>
    <w:p>
      <w:pPr>
        <w:numPr>
          <w:ilvl w:val="0"/>
          <w:numId w:val="18"/>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投标人认为需要补充的其他资料</w:t>
      </w:r>
    </w:p>
    <w:p>
      <w:pPr>
        <w:pStyle w:val="6"/>
        <w:spacing w:line="440" w:lineRule="exact"/>
        <w:ind w:right="210"/>
        <w:rPr>
          <w:rFonts w:ascii="微软雅黑" w:hAnsi="微软雅黑" w:eastAsia="微软雅黑"/>
          <w:sz w:val="20"/>
          <w:szCs w:val="20"/>
        </w:rPr>
        <w:sectPr>
          <w:pgSz w:w="11909" w:h="16834"/>
          <w:pgMar w:top="1440" w:right="1134" w:bottom="1440" w:left="1134" w:header="851" w:footer="992" w:gutter="0"/>
          <w:pgNumType w:fmt="decimalFullWidth"/>
          <w:cols w:space="720" w:num="1"/>
          <w:docGrid w:linePitch="381" w:charSpace="0"/>
        </w:sectPr>
      </w:pPr>
    </w:p>
    <w:p>
      <w:pPr>
        <w:pStyle w:val="24"/>
        <w:rPr>
          <w:rFonts w:ascii="微软雅黑" w:hAnsi="微软雅黑" w:eastAsia="微软雅黑"/>
          <w:sz w:val="24"/>
          <w:szCs w:val="21"/>
        </w:rPr>
      </w:pPr>
      <w:bookmarkStart w:id="58" w:name="_Toc267939542"/>
      <w:bookmarkStart w:id="59" w:name="_Toc267921558"/>
      <w:bookmarkStart w:id="60" w:name="_Toc385419749"/>
      <w:bookmarkStart w:id="61" w:name="_Toc9826"/>
      <w:r>
        <w:rPr>
          <w:rFonts w:hint="eastAsia" w:ascii="微软雅黑" w:hAnsi="微软雅黑" w:eastAsia="微软雅黑"/>
          <w:sz w:val="24"/>
          <w:szCs w:val="21"/>
        </w:rPr>
        <w:t>附录六：</w:t>
      </w:r>
      <w:bookmarkEnd w:id="58"/>
      <w:bookmarkEnd w:id="59"/>
      <w:r>
        <w:rPr>
          <w:rFonts w:hint="eastAsia" w:ascii="微软雅黑" w:hAnsi="微软雅黑" w:eastAsia="微软雅黑"/>
          <w:sz w:val="24"/>
          <w:szCs w:val="21"/>
        </w:rPr>
        <w:t>投标人最近三年已完成（或正在实施的）与招标内容类似项目一览表</w:t>
      </w:r>
      <w:bookmarkEnd w:id="60"/>
      <w:bookmarkEnd w:id="61"/>
    </w:p>
    <w:tbl>
      <w:tblPr>
        <w:tblStyle w:val="32"/>
        <w:tblpPr w:leftFromText="180" w:rightFromText="180" w:vertAnchor="page" w:horzAnchor="margin" w:tblpY="307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85"/>
        <w:gridCol w:w="1167"/>
        <w:gridCol w:w="1134"/>
        <w:gridCol w:w="1134"/>
        <w:gridCol w:w="133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年度</w:t>
            </w:r>
          </w:p>
        </w:tc>
        <w:tc>
          <w:tcPr>
            <w:tcW w:w="1385"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p>
        </w:tc>
        <w:tc>
          <w:tcPr>
            <w:tcW w:w="1167"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项目名称</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项目内容</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项目工期</w:t>
            </w:r>
          </w:p>
        </w:tc>
        <w:tc>
          <w:tcPr>
            <w:tcW w:w="1337"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工程费</w:t>
            </w:r>
          </w:p>
          <w:p>
            <w:pPr>
              <w:spacing w:line="440" w:lineRule="exact"/>
              <w:jc w:val="center"/>
              <w:rPr>
                <w:rFonts w:ascii="微软雅黑" w:hAnsi="微软雅黑" w:eastAsia="微软雅黑"/>
                <w:b/>
                <w:szCs w:val="21"/>
              </w:rPr>
            </w:pPr>
            <w:r>
              <w:rPr>
                <w:rFonts w:ascii="微软雅黑" w:hAnsi="微软雅黑" w:eastAsia="微软雅黑"/>
                <w:b/>
                <w:szCs w:val="21"/>
              </w:rPr>
              <w:t>（金额）</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工作量</w:t>
            </w:r>
          </w:p>
          <w:p>
            <w:pPr>
              <w:spacing w:line="440" w:lineRule="exact"/>
              <w:jc w:val="center"/>
              <w:rPr>
                <w:rFonts w:ascii="微软雅黑" w:hAnsi="微软雅黑" w:eastAsia="微软雅黑"/>
                <w:b/>
                <w:szCs w:val="21"/>
              </w:rPr>
            </w:pPr>
            <w:r>
              <w:rPr>
                <w:rFonts w:ascii="微软雅黑" w:hAnsi="微软雅黑" w:eastAsia="微软雅黑"/>
                <w:b/>
                <w:szCs w:val="21"/>
              </w:rPr>
              <w:t>(人.月)</w:t>
            </w:r>
          </w:p>
        </w:tc>
        <w:tc>
          <w:tcPr>
            <w:tcW w:w="1701"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r>
              <w:rPr>
                <w:rFonts w:hint="eastAsia" w:ascii="微软雅黑" w:hAnsi="微软雅黑" w:eastAsia="微软雅黑"/>
                <w:b/>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5"/>
              <w:spacing w:line="440" w:lineRule="exact"/>
              <w:rPr>
                <w:rFonts w:ascii="微软雅黑" w:hAnsi="微软雅黑" w:eastAsia="微软雅黑"/>
              </w:rPr>
            </w:pPr>
          </w:p>
        </w:tc>
        <w:tc>
          <w:tcPr>
            <w:tcW w:w="1385" w:type="dxa"/>
          </w:tcPr>
          <w:p>
            <w:pPr>
              <w:pStyle w:val="5"/>
              <w:spacing w:line="440" w:lineRule="exact"/>
              <w:rPr>
                <w:rFonts w:ascii="微软雅黑" w:hAnsi="微软雅黑" w:eastAsia="微软雅黑"/>
              </w:rPr>
            </w:pPr>
          </w:p>
        </w:tc>
        <w:tc>
          <w:tcPr>
            <w:tcW w:w="116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337" w:type="dxa"/>
          </w:tcPr>
          <w:p>
            <w:pPr>
              <w:pStyle w:val="5"/>
              <w:spacing w:line="440" w:lineRule="exact"/>
              <w:rPr>
                <w:rFonts w:ascii="微软雅黑" w:hAnsi="微软雅黑" w:eastAsia="微软雅黑"/>
              </w:rPr>
            </w:pPr>
          </w:p>
        </w:tc>
        <w:tc>
          <w:tcPr>
            <w:tcW w:w="1134" w:type="dxa"/>
          </w:tcPr>
          <w:p>
            <w:pPr>
              <w:pStyle w:val="5"/>
              <w:spacing w:line="440" w:lineRule="exact"/>
              <w:rPr>
                <w:rFonts w:ascii="微软雅黑" w:hAnsi="微软雅黑" w:eastAsia="微软雅黑"/>
              </w:rPr>
            </w:pPr>
          </w:p>
        </w:tc>
        <w:tc>
          <w:tcPr>
            <w:tcW w:w="1701" w:type="dxa"/>
          </w:tcPr>
          <w:p>
            <w:pPr>
              <w:pStyle w:val="5"/>
              <w:spacing w:line="440" w:lineRule="exact"/>
              <w:rPr>
                <w:rFonts w:ascii="微软雅黑" w:hAnsi="微软雅黑" w:eastAsia="微软雅黑"/>
              </w:rPr>
            </w:pPr>
          </w:p>
        </w:tc>
      </w:tr>
    </w:tbl>
    <w:p>
      <w:pPr>
        <w:spacing w:line="440" w:lineRule="exact"/>
        <w:jc w:val="center"/>
        <w:rPr>
          <w:rFonts w:ascii="微软雅黑" w:hAnsi="微软雅黑" w:eastAsia="微软雅黑"/>
          <w:sz w:val="24"/>
        </w:rPr>
      </w:pPr>
    </w:p>
    <w:p>
      <w:pPr>
        <w:spacing w:line="440" w:lineRule="exact"/>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4"/>
        <w:rPr>
          <w:rFonts w:ascii="微软雅黑" w:hAnsi="微软雅黑" w:eastAsia="微软雅黑"/>
        </w:rPr>
      </w:pPr>
      <w:bookmarkStart w:id="62" w:name="_Toc385419750"/>
      <w:bookmarkStart w:id="63" w:name="_Toc267939543"/>
      <w:bookmarkStart w:id="64" w:name="_Toc267921559"/>
      <w:bookmarkStart w:id="65" w:name="_Toc15112"/>
      <w:r>
        <w:rPr>
          <w:rFonts w:hint="eastAsia" w:ascii="微软雅黑" w:hAnsi="微软雅黑" w:eastAsia="微软雅黑"/>
        </w:rPr>
        <w:t>附录七：</w:t>
      </w:r>
      <w:bookmarkEnd w:id="62"/>
      <w:bookmarkEnd w:id="63"/>
      <w:bookmarkEnd w:id="64"/>
      <w:r>
        <w:rPr>
          <w:rFonts w:hint="eastAsia" w:ascii="微软雅黑" w:hAnsi="微软雅黑" w:eastAsia="微软雅黑"/>
        </w:rPr>
        <w:t>投标人承担本项目主要专业技术人员一览表</w:t>
      </w:r>
      <w:bookmarkEnd w:id="65"/>
    </w:p>
    <w:p>
      <w:pPr>
        <w:spacing w:line="440" w:lineRule="exact"/>
        <w:ind w:firstLine="560"/>
        <w:rPr>
          <w:rFonts w:ascii="微软雅黑" w:hAnsi="微软雅黑" w:eastAsia="微软雅黑"/>
          <w:sz w:val="24"/>
        </w:rPr>
      </w:pPr>
    </w:p>
    <w:p>
      <w:pPr>
        <w:tabs>
          <w:tab w:val="left" w:pos="5130"/>
        </w:tabs>
        <w:autoSpaceDE w:val="0"/>
        <w:autoSpaceDN w:val="0"/>
        <w:adjustRightInd w:val="0"/>
        <w:spacing w:after="120" w:afterLines="50" w:line="360" w:lineRule="auto"/>
        <w:rPr>
          <w:rFonts w:ascii="微软雅黑" w:hAnsi="微软雅黑" w:eastAsia="微软雅黑" w:cs="宋体"/>
          <w:kern w:val="0"/>
          <w:szCs w:val="24"/>
        </w:rPr>
      </w:pPr>
      <w:r>
        <w:rPr>
          <w:rFonts w:ascii="微软雅黑" w:hAnsi="微软雅黑" w:eastAsia="微软雅黑" w:cs="宋体"/>
          <w:kern w:val="0"/>
          <w:sz w:val="24"/>
          <w:szCs w:val="24"/>
        </w:rPr>
        <w:t>投标人名称：______________________________________</w:t>
      </w:r>
    </w:p>
    <w:p>
      <w:pPr>
        <w:pStyle w:val="15"/>
        <w:spacing w:line="480" w:lineRule="exact"/>
        <w:jc w:val="center"/>
        <w:rPr>
          <w:rFonts w:ascii="微软雅黑" w:hAnsi="微软雅黑" w:eastAsia="微软雅黑" w:cs="仿宋"/>
          <w:b/>
          <w:sz w:val="24"/>
        </w:rPr>
      </w:pPr>
      <w:r>
        <w:rPr>
          <w:rFonts w:hint="eastAsia" w:ascii="微软雅黑" w:hAnsi="微软雅黑" w:eastAsia="微软雅黑" w:cs="仿宋"/>
          <w:b/>
          <w:sz w:val="24"/>
        </w:rPr>
        <w:t>项目经理情况</w:t>
      </w:r>
    </w:p>
    <w:tbl>
      <w:tblPr>
        <w:tblStyle w:val="32"/>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498"/>
        <w:gridCol w:w="1065"/>
        <w:gridCol w:w="106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姓名</w:t>
            </w:r>
          </w:p>
        </w:tc>
        <w:tc>
          <w:tcPr>
            <w:tcW w:w="1065"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年龄</w:t>
            </w:r>
          </w:p>
        </w:tc>
        <w:tc>
          <w:tcPr>
            <w:tcW w:w="1065"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学历</w:t>
            </w:r>
          </w:p>
        </w:tc>
        <w:tc>
          <w:tcPr>
            <w:tcW w:w="1065"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工作年限</w:t>
            </w:r>
          </w:p>
        </w:tc>
        <w:tc>
          <w:tcPr>
            <w:tcW w:w="1498"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PMP或高级项目经理证书编号</w:t>
            </w:r>
          </w:p>
        </w:tc>
        <w:tc>
          <w:tcPr>
            <w:tcW w:w="1065"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承担过的本类项目名称</w:t>
            </w:r>
          </w:p>
        </w:tc>
        <w:tc>
          <w:tcPr>
            <w:tcW w:w="1065"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合同签订日期</w:t>
            </w:r>
          </w:p>
        </w:tc>
        <w:tc>
          <w:tcPr>
            <w:tcW w:w="1435" w:type="dxa"/>
            <w:shd w:val="pct10" w:color="auto" w:fill="auto"/>
            <w:vAlign w:val="center"/>
          </w:tcPr>
          <w:p>
            <w:pPr>
              <w:topLinePunct/>
              <w:snapToGrid w:val="0"/>
              <w:jc w:val="center"/>
              <w:rPr>
                <w:rFonts w:ascii="微软雅黑" w:hAnsi="微软雅黑" w:eastAsia="微软雅黑" w:cs="仿宋"/>
                <w:b/>
                <w:sz w:val="20"/>
                <w:szCs w:val="20"/>
              </w:rPr>
            </w:pPr>
            <w:r>
              <w:rPr>
                <w:rFonts w:hint="eastAsia" w:ascii="微软雅黑" w:hAnsi="微软雅黑" w:eastAsia="微软雅黑" w:cs="仿宋"/>
                <w:b/>
                <w:sz w:val="20"/>
                <w:szCs w:val="20"/>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065" w:type="dxa"/>
            <w:vAlign w:val="center"/>
          </w:tcPr>
          <w:p>
            <w:pPr>
              <w:topLinePunct/>
              <w:snapToGrid w:val="0"/>
              <w:jc w:val="center"/>
              <w:rPr>
                <w:rFonts w:ascii="仿宋" w:hAnsi="仿宋" w:eastAsia="仿宋" w:cs="仿宋"/>
                <w:sz w:val="24"/>
              </w:rPr>
            </w:pPr>
          </w:p>
        </w:tc>
        <w:tc>
          <w:tcPr>
            <w:tcW w:w="1065" w:type="dxa"/>
            <w:vAlign w:val="center"/>
          </w:tcPr>
          <w:p>
            <w:pPr>
              <w:topLinePunct/>
              <w:snapToGrid w:val="0"/>
              <w:jc w:val="center"/>
              <w:rPr>
                <w:rFonts w:ascii="仿宋" w:hAnsi="仿宋" w:eastAsia="仿宋" w:cs="仿宋"/>
                <w:sz w:val="24"/>
              </w:rPr>
            </w:pPr>
          </w:p>
        </w:tc>
        <w:tc>
          <w:tcPr>
            <w:tcW w:w="1065" w:type="dxa"/>
            <w:vAlign w:val="center"/>
          </w:tcPr>
          <w:p>
            <w:pPr>
              <w:topLinePunct/>
              <w:snapToGrid w:val="0"/>
              <w:jc w:val="center"/>
              <w:rPr>
                <w:rFonts w:ascii="仿宋" w:hAnsi="仿宋" w:eastAsia="仿宋" w:cs="仿宋"/>
                <w:sz w:val="24"/>
              </w:rPr>
            </w:pPr>
          </w:p>
        </w:tc>
        <w:tc>
          <w:tcPr>
            <w:tcW w:w="1065" w:type="dxa"/>
            <w:vAlign w:val="center"/>
          </w:tcPr>
          <w:p>
            <w:pPr>
              <w:topLinePunct/>
              <w:snapToGrid w:val="0"/>
              <w:jc w:val="center"/>
              <w:rPr>
                <w:rFonts w:ascii="仿宋" w:hAnsi="仿宋" w:eastAsia="仿宋" w:cs="仿宋"/>
                <w:sz w:val="24"/>
              </w:rPr>
            </w:pPr>
          </w:p>
        </w:tc>
        <w:tc>
          <w:tcPr>
            <w:tcW w:w="1498" w:type="dxa"/>
            <w:vAlign w:val="center"/>
          </w:tcPr>
          <w:p>
            <w:pPr>
              <w:topLinePunct/>
              <w:snapToGrid w:val="0"/>
              <w:jc w:val="center"/>
              <w:rPr>
                <w:rFonts w:ascii="仿宋" w:hAnsi="仿宋" w:eastAsia="仿宋" w:cs="仿宋"/>
                <w:sz w:val="24"/>
              </w:rPr>
            </w:pPr>
          </w:p>
        </w:tc>
        <w:tc>
          <w:tcPr>
            <w:tcW w:w="1065" w:type="dxa"/>
            <w:vAlign w:val="center"/>
          </w:tcPr>
          <w:p>
            <w:pPr>
              <w:topLinePunct/>
              <w:snapToGrid w:val="0"/>
              <w:jc w:val="center"/>
              <w:rPr>
                <w:rFonts w:ascii="仿宋" w:hAnsi="仿宋" w:eastAsia="仿宋" w:cs="仿宋"/>
                <w:sz w:val="24"/>
              </w:rPr>
            </w:pPr>
          </w:p>
        </w:tc>
        <w:tc>
          <w:tcPr>
            <w:tcW w:w="1065" w:type="dxa"/>
            <w:vAlign w:val="center"/>
          </w:tcPr>
          <w:p>
            <w:pPr>
              <w:topLinePunct/>
              <w:snapToGrid w:val="0"/>
              <w:jc w:val="center"/>
              <w:rPr>
                <w:rFonts w:ascii="仿宋" w:hAnsi="仿宋" w:eastAsia="仿宋" w:cs="仿宋"/>
                <w:sz w:val="24"/>
              </w:rPr>
            </w:pPr>
          </w:p>
        </w:tc>
        <w:tc>
          <w:tcPr>
            <w:tcW w:w="1435" w:type="dxa"/>
            <w:vAlign w:val="center"/>
          </w:tcPr>
          <w:p>
            <w:pPr>
              <w:topLinePunct/>
              <w:snapToGrid w:val="0"/>
              <w:jc w:val="center"/>
              <w:rPr>
                <w:rFonts w:ascii="仿宋" w:hAnsi="仿宋" w:eastAsia="仿宋" w:cs="仿宋"/>
                <w:sz w:val="24"/>
              </w:rPr>
            </w:pPr>
          </w:p>
        </w:tc>
      </w:tr>
    </w:tbl>
    <w:p>
      <w:pPr>
        <w:topLinePunct/>
        <w:snapToGrid w:val="0"/>
        <w:spacing w:line="300" w:lineRule="auto"/>
        <w:rPr>
          <w:rFonts w:ascii="微软雅黑" w:hAnsi="微软雅黑" w:eastAsia="微软雅黑" w:cs="仿宋"/>
          <w:sz w:val="20"/>
          <w:szCs w:val="20"/>
        </w:rPr>
      </w:pPr>
      <w:r>
        <w:rPr>
          <w:rFonts w:hint="eastAsia" w:ascii="微软雅黑" w:hAnsi="微软雅黑" w:eastAsia="微软雅黑" w:cs="仿宋"/>
          <w:sz w:val="20"/>
          <w:szCs w:val="20"/>
        </w:rPr>
        <w:t>注：</w:t>
      </w:r>
    </w:p>
    <w:p>
      <w:pPr>
        <w:topLinePunct/>
        <w:snapToGrid w:val="0"/>
        <w:spacing w:line="300" w:lineRule="auto"/>
        <w:ind w:firstLine="400" w:firstLineChars="200"/>
        <w:rPr>
          <w:rFonts w:ascii="微软雅黑" w:hAnsi="微软雅黑" w:eastAsia="微软雅黑" w:cs="仿宋"/>
          <w:sz w:val="20"/>
          <w:szCs w:val="20"/>
        </w:rPr>
      </w:pPr>
      <w:r>
        <w:rPr>
          <w:rFonts w:hint="eastAsia" w:ascii="微软雅黑" w:hAnsi="微软雅黑" w:eastAsia="微软雅黑" w:cs="仿宋"/>
          <w:sz w:val="20"/>
          <w:szCs w:val="20"/>
        </w:rPr>
        <w:t>1、请附项目经理的简历、身份证复印件、学历证书复印件、PMP或高级项目经理证书复印件、劳动合同复印件和社保证明复印件，以及作为本类项目经理业绩的案例合同复印件。</w:t>
      </w:r>
    </w:p>
    <w:p>
      <w:pPr>
        <w:topLinePunct/>
        <w:snapToGrid w:val="0"/>
        <w:spacing w:line="300" w:lineRule="auto"/>
        <w:ind w:firstLine="392" w:firstLineChars="196"/>
        <w:rPr>
          <w:rFonts w:ascii="微软雅黑" w:hAnsi="微软雅黑" w:eastAsia="微软雅黑" w:cs="仿宋"/>
          <w:sz w:val="20"/>
          <w:szCs w:val="20"/>
        </w:rPr>
      </w:pPr>
      <w:r>
        <w:rPr>
          <w:rFonts w:hint="eastAsia" w:ascii="微软雅黑" w:hAnsi="微软雅黑" w:eastAsia="微软雅黑" w:cs="仿宋"/>
          <w:sz w:val="20"/>
          <w:szCs w:val="20"/>
        </w:rPr>
        <w:t>2、项目经理一旦确定，除甲方要求更换外不得变更，作为本项目的对接人，必须全程参与相关工程师的协调、安排以及招标方的日常需求等。</w:t>
      </w:r>
    </w:p>
    <w:p>
      <w:pPr>
        <w:topLinePunct/>
        <w:snapToGrid w:val="0"/>
        <w:spacing w:line="300" w:lineRule="auto"/>
        <w:ind w:firstLine="470" w:firstLineChars="196"/>
        <w:rPr>
          <w:rFonts w:ascii="仿宋" w:hAnsi="仿宋" w:eastAsia="仿宋" w:cs="仿宋"/>
          <w:sz w:val="24"/>
          <w:u w:val="single"/>
        </w:rPr>
      </w:pPr>
    </w:p>
    <w:p>
      <w:pPr>
        <w:spacing w:before="120"/>
        <w:jc w:val="center"/>
        <w:rPr>
          <w:rFonts w:ascii="微软雅黑" w:hAnsi="微软雅黑" w:eastAsia="微软雅黑"/>
        </w:rPr>
      </w:pPr>
      <w:r>
        <w:rPr>
          <w:rFonts w:hint="eastAsia" w:ascii="微软雅黑" w:hAnsi="微软雅黑" w:eastAsia="微软雅黑" w:cs="仿宋"/>
          <w:b/>
          <w:sz w:val="24"/>
        </w:rPr>
        <w:t>团队人员情况一览表（每个人都需提供单独的简历）</w:t>
      </w:r>
    </w:p>
    <w:tbl>
      <w:tblPr>
        <w:tblStyle w:val="32"/>
        <w:tblW w:w="10347" w:type="dxa"/>
        <w:jc w:val="center"/>
        <w:tblInd w:w="0" w:type="dxa"/>
        <w:tblLayout w:type="fixed"/>
        <w:tblCellMar>
          <w:top w:w="0" w:type="dxa"/>
          <w:left w:w="108" w:type="dxa"/>
          <w:bottom w:w="0" w:type="dxa"/>
          <w:right w:w="108" w:type="dxa"/>
        </w:tblCellMar>
      </w:tblPr>
      <w:tblGrid>
        <w:gridCol w:w="709"/>
        <w:gridCol w:w="1152"/>
        <w:gridCol w:w="1080"/>
        <w:gridCol w:w="1080"/>
        <w:gridCol w:w="1080"/>
        <w:gridCol w:w="1278"/>
        <w:gridCol w:w="1134"/>
        <w:gridCol w:w="1275"/>
        <w:gridCol w:w="1559"/>
      </w:tblGrid>
      <w:tr>
        <w:tblPrEx>
          <w:tblLayout w:type="fixed"/>
          <w:tblCellMar>
            <w:top w:w="0" w:type="dxa"/>
            <w:left w:w="108" w:type="dxa"/>
            <w:bottom w:w="0" w:type="dxa"/>
            <w:right w:w="108" w:type="dxa"/>
          </w:tblCellMar>
        </w:tblPrEx>
        <w:trPr>
          <w:trHeight w:val="945" w:hRule="atLeast"/>
          <w:jc w:val="center"/>
        </w:trPr>
        <w:tc>
          <w:tcPr>
            <w:tcW w:w="709" w:type="dxa"/>
            <w:vMerge w:val="restart"/>
            <w:tcBorders>
              <w:top w:val="single" w:color="auto" w:sz="8" w:space="0"/>
              <w:left w:val="single" w:color="auto" w:sz="8"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序号</w:t>
            </w:r>
          </w:p>
        </w:tc>
        <w:tc>
          <w:tcPr>
            <w:tcW w:w="1152"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姓名</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年龄</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学历</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工作年限</w:t>
            </w:r>
          </w:p>
        </w:tc>
        <w:tc>
          <w:tcPr>
            <w:tcW w:w="1278"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是否支持团队主要成员</w:t>
            </w:r>
          </w:p>
        </w:tc>
        <w:tc>
          <w:tcPr>
            <w:tcW w:w="1134"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参与项目时间段</w:t>
            </w:r>
          </w:p>
        </w:tc>
        <w:tc>
          <w:tcPr>
            <w:tcW w:w="1275"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擅长方向</w:t>
            </w:r>
          </w:p>
        </w:tc>
        <w:tc>
          <w:tcPr>
            <w:tcW w:w="1559" w:type="dxa"/>
            <w:vMerge w:val="restart"/>
            <w:tcBorders>
              <w:top w:val="single" w:color="auto" w:sz="8" w:space="0"/>
              <w:left w:val="single" w:color="auto" w:sz="4" w:space="0"/>
              <w:bottom w:val="single" w:color="auto" w:sz="8" w:space="0"/>
              <w:right w:val="single" w:color="auto" w:sz="8" w:space="0"/>
            </w:tcBorders>
            <w:shd w:val="pct10" w:color="auto" w:fill="auto"/>
            <w:vAlign w:val="center"/>
          </w:tcPr>
          <w:p>
            <w:pPr>
              <w:widowControl/>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主要经历</w:t>
            </w:r>
          </w:p>
        </w:tc>
      </w:tr>
      <w:tr>
        <w:tblPrEx>
          <w:tblLayout w:type="fixed"/>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8"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152"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278"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134"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275"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widowControl/>
              <w:jc w:val="left"/>
              <w:rPr>
                <w:rFonts w:ascii="微软雅黑" w:hAnsi="微软雅黑" w:eastAsia="微软雅黑" w:cs="宋体"/>
                <w:b/>
                <w:bCs/>
                <w:kern w:val="0"/>
                <w:szCs w:val="21"/>
              </w:rPr>
            </w:pPr>
          </w:p>
        </w:tc>
        <w:tc>
          <w:tcPr>
            <w:tcW w:w="1559" w:type="dxa"/>
            <w:vMerge w:val="continue"/>
            <w:tcBorders>
              <w:top w:val="single" w:color="auto" w:sz="4" w:space="0"/>
              <w:left w:val="single" w:color="auto" w:sz="4" w:space="0"/>
              <w:bottom w:val="single" w:color="auto" w:sz="8" w:space="0"/>
              <w:right w:val="single" w:color="auto" w:sz="8" w:space="0"/>
            </w:tcBorders>
            <w:shd w:val="pct10" w:color="auto" w:fill="auto"/>
            <w:vAlign w:val="center"/>
          </w:tcPr>
          <w:p>
            <w:pPr>
              <w:widowControl/>
              <w:jc w:val="left"/>
              <w:rPr>
                <w:rFonts w:ascii="微软雅黑" w:hAnsi="微软雅黑" w:eastAsia="微软雅黑" w:cs="宋体"/>
                <w:b/>
                <w:bCs/>
                <w:kern w:val="0"/>
                <w:szCs w:val="21"/>
              </w:rPr>
            </w:pPr>
          </w:p>
        </w:tc>
      </w:tr>
      <w:tr>
        <w:tblPrEx>
          <w:tblLayout w:type="fixed"/>
          <w:tblCellMar>
            <w:top w:w="0" w:type="dxa"/>
            <w:left w:w="108" w:type="dxa"/>
            <w:bottom w:w="0" w:type="dxa"/>
            <w:right w:w="108" w:type="dxa"/>
          </w:tblCellMar>
        </w:tblPrEx>
        <w:trPr>
          <w:trHeight w:val="270" w:hRule="atLeast"/>
          <w:jc w:val="center"/>
        </w:trPr>
        <w:tc>
          <w:tcPr>
            <w:tcW w:w="709" w:type="dxa"/>
            <w:tcBorders>
              <w:top w:val="single" w:color="auto" w:sz="8" w:space="0"/>
              <w:left w:val="single" w:color="auto" w:sz="8" w:space="0"/>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52" w:type="dxa"/>
            <w:tcBorders>
              <w:top w:val="single" w:color="auto" w:sz="8" w:space="0"/>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single" w:color="auto" w:sz="8" w:space="0"/>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single" w:color="auto" w:sz="8" w:space="0"/>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single" w:color="auto" w:sz="8" w:space="0"/>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8" w:type="dxa"/>
            <w:tcBorders>
              <w:top w:val="single" w:color="auto" w:sz="8" w:space="0"/>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34" w:type="dxa"/>
            <w:tcBorders>
              <w:top w:val="single" w:color="auto" w:sz="8" w:space="0"/>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5" w:type="dxa"/>
            <w:tcBorders>
              <w:top w:val="single" w:color="auto" w:sz="8" w:space="0"/>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559" w:type="dxa"/>
            <w:tcBorders>
              <w:top w:val="single" w:color="auto" w:sz="8" w:space="0"/>
              <w:left w:val="nil"/>
              <w:bottom w:val="single" w:color="auto" w:sz="4" w:space="0"/>
              <w:right w:val="single" w:color="auto" w:sz="8"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5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8"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34"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559" w:type="dxa"/>
            <w:tcBorders>
              <w:top w:val="nil"/>
              <w:left w:val="nil"/>
              <w:bottom w:val="single" w:color="auto" w:sz="4" w:space="0"/>
              <w:right w:val="single" w:color="auto" w:sz="8"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5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8"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34"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559" w:type="dxa"/>
            <w:tcBorders>
              <w:top w:val="nil"/>
              <w:left w:val="nil"/>
              <w:bottom w:val="single" w:color="auto" w:sz="4" w:space="0"/>
              <w:right w:val="single" w:color="auto" w:sz="8"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5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8"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34"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559" w:type="dxa"/>
            <w:tcBorders>
              <w:top w:val="nil"/>
              <w:left w:val="nil"/>
              <w:bottom w:val="single" w:color="auto" w:sz="4" w:space="0"/>
              <w:right w:val="single" w:color="auto" w:sz="8"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5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8"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34"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559" w:type="dxa"/>
            <w:tcBorders>
              <w:top w:val="nil"/>
              <w:left w:val="nil"/>
              <w:bottom w:val="single" w:color="auto" w:sz="4" w:space="0"/>
              <w:right w:val="single" w:color="auto" w:sz="8"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5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8"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34"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559" w:type="dxa"/>
            <w:tcBorders>
              <w:top w:val="nil"/>
              <w:left w:val="nil"/>
              <w:bottom w:val="single" w:color="auto" w:sz="4" w:space="0"/>
              <w:right w:val="single" w:color="auto" w:sz="8"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r>
      <w:tr>
        <w:tblPrEx>
          <w:tblLayout w:type="fixed"/>
          <w:tblCellMar>
            <w:top w:w="0" w:type="dxa"/>
            <w:left w:w="108" w:type="dxa"/>
            <w:bottom w:w="0" w:type="dxa"/>
            <w:right w:w="108" w:type="dxa"/>
          </w:tblCellMar>
        </w:tblPrEx>
        <w:trPr>
          <w:trHeight w:val="285" w:hRule="atLeast"/>
          <w:jc w:val="center"/>
        </w:trPr>
        <w:tc>
          <w:tcPr>
            <w:tcW w:w="709" w:type="dxa"/>
            <w:tcBorders>
              <w:top w:val="nil"/>
              <w:left w:val="single" w:color="auto" w:sz="8" w:space="0"/>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52" w:type="dxa"/>
            <w:tcBorders>
              <w:top w:val="nil"/>
              <w:left w:val="nil"/>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080" w:type="dxa"/>
            <w:tcBorders>
              <w:top w:val="nil"/>
              <w:left w:val="nil"/>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8" w:type="dxa"/>
            <w:tcBorders>
              <w:top w:val="nil"/>
              <w:left w:val="nil"/>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134" w:type="dxa"/>
            <w:tcBorders>
              <w:top w:val="nil"/>
              <w:left w:val="nil"/>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275" w:type="dxa"/>
            <w:tcBorders>
              <w:top w:val="nil"/>
              <w:left w:val="nil"/>
              <w:bottom w:val="single" w:color="auto" w:sz="8" w:space="0"/>
              <w:right w:val="single" w:color="auto" w:sz="4"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c>
          <w:tcPr>
            <w:tcW w:w="1559" w:type="dxa"/>
            <w:tcBorders>
              <w:top w:val="nil"/>
              <w:left w:val="nil"/>
              <w:bottom w:val="single" w:color="auto" w:sz="8" w:space="0"/>
              <w:right w:val="single" w:color="auto" w:sz="8" w:space="0"/>
            </w:tcBorders>
            <w:vAlign w:val="center"/>
          </w:tcPr>
          <w:p>
            <w:pPr>
              <w:widowControl/>
              <w:jc w:val="left"/>
              <w:rPr>
                <w:rFonts w:ascii="微软雅黑" w:hAnsi="微软雅黑" w:eastAsia="微软雅黑" w:cs="宋体"/>
                <w:kern w:val="0"/>
                <w:sz w:val="22"/>
              </w:rPr>
            </w:pPr>
            <w:r>
              <w:rPr>
                <w:rFonts w:hint="eastAsia" w:ascii="微软雅黑" w:hAnsi="微软雅黑" w:eastAsia="微软雅黑" w:cs="宋体"/>
                <w:kern w:val="0"/>
                <w:sz w:val="22"/>
              </w:rPr>
              <w:t>　</w:t>
            </w:r>
          </w:p>
        </w:tc>
      </w:tr>
    </w:tbl>
    <w:p>
      <w:pPr>
        <w:topLinePunct/>
        <w:snapToGrid w:val="0"/>
        <w:spacing w:line="300" w:lineRule="auto"/>
        <w:rPr>
          <w:rFonts w:ascii="微软雅黑" w:hAnsi="微软雅黑" w:eastAsia="微软雅黑" w:cs="仿宋"/>
          <w:sz w:val="20"/>
          <w:szCs w:val="20"/>
        </w:rPr>
      </w:pPr>
      <w:r>
        <w:rPr>
          <w:rFonts w:hint="eastAsia" w:ascii="微软雅黑" w:hAnsi="微软雅黑" w:eastAsia="微软雅黑" w:cs="仿宋"/>
          <w:sz w:val="20"/>
          <w:szCs w:val="20"/>
        </w:rPr>
        <w:t>注：</w:t>
      </w:r>
    </w:p>
    <w:p>
      <w:pPr>
        <w:topLinePunct/>
        <w:snapToGrid w:val="0"/>
        <w:spacing w:line="300" w:lineRule="auto"/>
        <w:ind w:firstLine="392" w:firstLineChars="196"/>
        <w:rPr>
          <w:rFonts w:ascii="微软雅黑" w:hAnsi="微软雅黑" w:eastAsia="微软雅黑" w:cs="仿宋"/>
          <w:sz w:val="20"/>
          <w:szCs w:val="20"/>
        </w:rPr>
      </w:pPr>
      <w:r>
        <w:rPr>
          <w:rFonts w:hint="eastAsia" w:ascii="微软雅黑" w:hAnsi="微软雅黑" w:eastAsia="微软雅黑" w:cs="仿宋"/>
          <w:sz w:val="20"/>
          <w:szCs w:val="20"/>
        </w:rPr>
        <w:t>1、请按照上述顺序附支持团队人员的简历、身份证复印件、学历证书复印件、职称证书复印件、资质证书复印件、劳动合同复印件和社保证明复印件。</w:t>
      </w:r>
    </w:p>
    <w:p>
      <w:pPr>
        <w:topLinePunct/>
        <w:snapToGrid w:val="0"/>
        <w:spacing w:line="300" w:lineRule="auto"/>
        <w:ind w:firstLine="392" w:firstLineChars="196"/>
        <w:rPr>
          <w:rFonts w:ascii="微软雅黑" w:hAnsi="微软雅黑" w:eastAsia="微软雅黑" w:cs="仿宋"/>
          <w:sz w:val="20"/>
          <w:szCs w:val="20"/>
        </w:rPr>
      </w:pPr>
      <w:r>
        <w:rPr>
          <w:rFonts w:hint="eastAsia" w:ascii="微软雅黑" w:hAnsi="微软雅黑" w:eastAsia="微软雅黑" w:cs="仿宋"/>
          <w:sz w:val="20"/>
          <w:szCs w:val="20"/>
        </w:rPr>
        <w:t>2、团队全体人员一旦确定，变更不得超过20%，支持团队骨干成员不得变更，并且比例不低于支持团队人员的50%。</w:t>
      </w:r>
    </w:p>
    <w:p>
      <w:pPr>
        <w:pStyle w:val="15"/>
        <w:spacing w:line="300" w:lineRule="auto"/>
        <w:rPr>
          <w:rFonts w:ascii="微软雅黑" w:hAnsi="微软雅黑" w:eastAsia="微软雅黑" w:cs="仿宋"/>
          <w:sz w:val="20"/>
        </w:rPr>
      </w:pPr>
      <w:r>
        <w:rPr>
          <w:rFonts w:hint="eastAsia" w:ascii="微软雅黑" w:hAnsi="微软雅黑" w:eastAsia="微软雅黑" w:cs="仿宋"/>
          <w:sz w:val="20"/>
        </w:rPr>
        <w:t xml:space="preserve">    投标人名称（盖单位章）:</w:t>
      </w:r>
    </w:p>
    <w:p>
      <w:pPr>
        <w:topLinePunct/>
        <w:snapToGrid w:val="0"/>
        <w:spacing w:line="300" w:lineRule="auto"/>
        <w:ind w:firstLine="392" w:firstLineChars="196"/>
        <w:rPr>
          <w:rFonts w:ascii="微软雅黑" w:hAnsi="微软雅黑" w:eastAsia="微软雅黑" w:cs="仿宋"/>
          <w:sz w:val="20"/>
          <w:szCs w:val="20"/>
          <w:u w:val="single"/>
        </w:rPr>
      </w:pPr>
      <w:r>
        <w:rPr>
          <w:rFonts w:hint="eastAsia" w:ascii="微软雅黑" w:hAnsi="微软雅黑" w:eastAsia="微软雅黑" w:cs="仿宋"/>
          <w:sz w:val="20"/>
          <w:szCs w:val="20"/>
        </w:rPr>
        <w:t>法定代表人或其委托代理人（签字）:</w:t>
      </w:r>
    </w:p>
    <w:p>
      <w:pPr>
        <w:spacing w:before="120"/>
        <w:rPr>
          <w:rFonts w:ascii="微软雅黑" w:hAnsi="微软雅黑" w:eastAsia="微软雅黑"/>
        </w:rPr>
      </w:pPr>
    </w:p>
    <w:p>
      <w:pPr>
        <w:spacing w:line="440" w:lineRule="exact"/>
        <w:ind w:firstLine="560"/>
        <w:rPr>
          <w:rFonts w:ascii="微软雅黑" w:hAnsi="微软雅黑" w:eastAsia="微软雅黑"/>
          <w:sz w:val="24"/>
        </w:rPr>
      </w:pPr>
      <w:r>
        <w:rPr>
          <w:rFonts w:ascii="微软雅黑" w:hAnsi="微软雅黑" w:eastAsia="微软雅黑"/>
          <w:sz w:val="20"/>
          <w:szCs w:val="20"/>
        </w:rPr>
        <w:t>上表所列人员包括但不限项目经理、</w:t>
      </w:r>
      <w:r>
        <w:rPr>
          <w:rFonts w:hint="eastAsia" w:ascii="微软雅黑" w:hAnsi="微软雅黑" w:eastAsia="微软雅黑"/>
          <w:sz w:val="20"/>
          <w:szCs w:val="20"/>
        </w:rPr>
        <w:t>团队</w:t>
      </w:r>
      <w:r>
        <w:rPr>
          <w:rFonts w:ascii="微软雅黑" w:hAnsi="微软雅黑" w:eastAsia="微软雅黑"/>
          <w:sz w:val="20"/>
          <w:szCs w:val="20"/>
        </w:rPr>
        <w:t>核心人员。投标方承诺保证</w:t>
      </w:r>
      <w:r>
        <w:rPr>
          <w:rFonts w:hint="eastAsia" w:ascii="微软雅黑" w:hAnsi="微软雅黑" w:eastAsia="微软雅黑"/>
          <w:sz w:val="20"/>
          <w:szCs w:val="20"/>
        </w:rPr>
        <w:t>团队成</w:t>
      </w:r>
      <w:r>
        <w:rPr>
          <w:rFonts w:ascii="微软雅黑" w:hAnsi="微软雅黑" w:eastAsia="微软雅黑"/>
          <w:sz w:val="20"/>
          <w:szCs w:val="20"/>
        </w:rPr>
        <w:t>员简历信息真实可靠；承诺如因客观情况变更</w:t>
      </w:r>
      <w:r>
        <w:rPr>
          <w:rFonts w:hint="eastAsia" w:ascii="微软雅黑" w:hAnsi="微软雅黑" w:eastAsia="微软雅黑"/>
          <w:sz w:val="20"/>
          <w:szCs w:val="20"/>
        </w:rPr>
        <w:t>团队人</w:t>
      </w:r>
      <w:r>
        <w:rPr>
          <w:rFonts w:ascii="微软雅黑" w:hAnsi="微软雅黑" w:eastAsia="微软雅黑"/>
          <w:sz w:val="20"/>
          <w:szCs w:val="20"/>
        </w:rPr>
        <w:t>员时，必须征得</w:t>
      </w:r>
      <w:r>
        <w:rPr>
          <w:rFonts w:hint="eastAsia" w:ascii="微软雅黑" w:hAnsi="微软雅黑" w:eastAsia="微软雅黑"/>
          <w:sz w:val="20"/>
          <w:szCs w:val="20"/>
        </w:rPr>
        <w:t>招标方</w:t>
      </w:r>
      <w:r>
        <w:rPr>
          <w:rFonts w:ascii="微软雅黑" w:hAnsi="微软雅黑" w:eastAsia="微软雅黑"/>
          <w:sz w:val="20"/>
          <w:szCs w:val="20"/>
        </w:rPr>
        <w:t>同意，并保证接替人员能力及工作经历不低于原来人员。</w:t>
      </w:r>
      <w:r>
        <w:rPr>
          <w:rFonts w:hint="eastAsia" w:ascii="微软雅黑" w:hAnsi="微软雅黑" w:eastAsia="微软雅黑"/>
          <w:sz w:val="20"/>
          <w:szCs w:val="20"/>
        </w:rPr>
        <w:t>对于提供现场驻场的技术人员，需提供简历及本单位社保证明。</w:t>
      </w:r>
    </w:p>
    <w:p>
      <w:pPr>
        <w:spacing w:line="440" w:lineRule="exact"/>
        <w:ind w:firstLine="560"/>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4"/>
        <w:rPr>
          <w:rFonts w:ascii="微软雅黑" w:hAnsi="微软雅黑" w:eastAsia="微软雅黑"/>
        </w:rPr>
      </w:pPr>
      <w:bookmarkStart w:id="66" w:name="_Toc267939544"/>
      <w:bookmarkStart w:id="67" w:name="_Toc267921560"/>
      <w:bookmarkStart w:id="68" w:name="_Toc10248"/>
      <w:bookmarkStart w:id="69" w:name="_Toc385419751"/>
      <w:r>
        <w:rPr>
          <w:rFonts w:hint="eastAsia" w:ascii="微软雅黑" w:hAnsi="微软雅黑" w:eastAsia="微软雅黑"/>
        </w:rPr>
        <w:t>附录八：技术规格偏差表</w:t>
      </w:r>
      <w:bookmarkEnd w:id="66"/>
      <w:bookmarkEnd w:id="67"/>
      <w:bookmarkEnd w:id="68"/>
      <w:bookmarkEnd w:id="69"/>
    </w:p>
    <w:tbl>
      <w:tblPr>
        <w:tblStyle w:val="3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800"/>
        <w:gridCol w:w="2029"/>
        <w:gridCol w:w="28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3500" w:type="dxa"/>
            <w:gridSpan w:val="2"/>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页号及条款编号</w:t>
            </w:r>
          </w:p>
        </w:tc>
        <w:tc>
          <w:tcPr>
            <w:tcW w:w="2029"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技术规格描述</w:t>
            </w:r>
          </w:p>
        </w:tc>
        <w:tc>
          <w:tcPr>
            <w:tcW w:w="2835"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与招标文件存在的偏差</w:t>
            </w:r>
          </w:p>
        </w:tc>
        <w:tc>
          <w:tcPr>
            <w:tcW w:w="1275"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700" w:type="dxa"/>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招标文件</w:t>
            </w:r>
          </w:p>
        </w:tc>
        <w:tc>
          <w:tcPr>
            <w:tcW w:w="1800" w:type="dxa"/>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投标文件</w:t>
            </w:r>
          </w:p>
        </w:tc>
        <w:tc>
          <w:tcPr>
            <w:tcW w:w="2029" w:type="dxa"/>
            <w:vMerge w:val="continue"/>
            <w:shd w:val="pct10" w:color="auto" w:fill="auto"/>
            <w:vAlign w:val="bottom"/>
          </w:tcPr>
          <w:p>
            <w:pPr>
              <w:spacing w:line="440" w:lineRule="exact"/>
              <w:jc w:val="left"/>
              <w:rPr>
                <w:rFonts w:ascii="微软雅黑" w:hAnsi="微软雅黑" w:eastAsia="微软雅黑"/>
                <w:b/>
                <w:snapToGrid w:val="0"/>
                <w:kern w:val="0"/>
                <w:sz w:val="20"/>
                <w:szCs w:val="20"/>
              </w:rPr>
            </w:pPr>
          </w:p>
        </w:tc>
        <w:tc>
          <w:tcPr>
            <w:tcW w:w="2835" w:type="dxa"/>
            <w:vMerge w:val="continue"/>
            <w:shd w:val="pct10" w:color="auto" w:fill="auto"/>
            <w:vAlign w:val="bottom"/>
          </w:tcPr>
          <w:p>
            <w:pPr>
              <w:spacing w:line="440" w:lineRule="exact"/>
              <w:jc w:val="left"/>
              <w:rPr>
                <w:rFonts w:ascii="微软雅黑" w:hAnsi="微软雅黑" w:eastAsia="微软雅黑"/>
                <w:b/>
                <w:snapToGrid w:val="0"/>
                <w:kern w:val="0"/>
                <w:sz w:val="20"/>
                <w:szCs w:val="20"/>
              </w:rPr>
            </w:pPr>
          </w:p>
        </w:tc>
        <w:tc>
          <w:tcPr>
            <w:tcW w:w="1275" w:type="dxa"/>
            <w:vMerge w:val="continue"/>
            <w:shd w:val="pct10" w:color="auto" w:fill="auto"/>
            <w:vAlign w:val="bottom"/>
          </w:tcPr>
          <w:p>
            <w:pPr>
              <w:spacing w:line="440" w:lineRule="exact"/>
              <w:jc w:val="left"/>
              <w:rPr>
                <w:rFonts w:ascii="微软雅黑" w:hAnsi="微软雅黑" w:eastAsia="微软雅黑"/>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0" w:type="dxa"/>
            <w:vAlign w:val="bottom"/>
          </w:tcPr>
          <w:p>
            <w:pPr>
              <w:spacing w:line="440" w:lineRule="exact"/>
              <w:jc w:val="left"/>
              <w:rPr>
                <w:rFonts w:ascii="微软雅黑" w:hAnsi="微软雅黑" w:eastAsia="微软雅黑"/>
                <w:snapToGrid w:val="0"/>
                <w:kern w:val="0"/>
                <w:sz w:val="20"/>
                <w:szCs w:val="20"/>
              </w:rPr>
            </w:pPr>
          </w:p>
          <w:p>
            <w:pPr>
              <w:spacing w:line="440" w:lineRule="exact"/>
              <w:jc w:val="left"/>
              <w:rPr>
                <w:rFonts w:ascii="微软雅黑" w:hAnsi="微软雅黑" w:eastAsia="微软雅黑"/>
                <w:snapToGrid w:val="0"/>
                <w:kern w:val="0"/>
                <w:sz w:val="20"/>
                <w:szCs w:val="20"/>
              </w:rPr>
            </w:pPr>
          </w:p>
          <w:p>
            <w:pPr>
              <w:spacing w:line="440" w:lineRule="exact"/>
              <w:jc w:val="left"/>
              <w:rPr>
                <w:rFonts w:ascii="微软雅黑" w:hAnsi="微软雅黑" w:eastAsia="微软雅黑"/>
                <w:snapToGrid w:val="0"/>
                <w:kern w:val="0"/>
                <w:sz w:val="20"/>
                <w:szCs w:val="20"/>
              </w:rPr>
            </w:pPr>
          </w:p>
        </w:tc>
        <w:tc>
          <w:tcPr>
            <w:tcW w:w="1800" w:type="dxa"/>
            <w:vAlign w:val="bottom"/>
          </w:tcPr>
          <w:p>
            <w:pPr>
              <w:spacing w:line="440" w:lineRule="exact"/>
              <w:jc w:val="left"/>
              <w:rPr>
                <w:rFonts w:ascii="微软雅黑" w:hAnsi="微软雅黑" w:eastAsia="微软雅黑"/>
                <w:snapToGrid w:val="0"/>
                <w:kern w:val="0"/>
                <w:sz w:val="20"/>
                <w:szCs w:val="20"/>
              </w:rPr>
            </w:pPr>
          </w:p>
        </w:tc>
        <w:tc>
          <w:tcPr>
            <w:tcW w:w="2029" w:type="dxa"/>
            <w:vAlign w:val="bottom"/>
          </w:tcPr>
          <w:p>
            <w:pPr>
              <w:spacing w:line="440" w:lineRule="exact"/>
              <w:jc w:val="left"/>
              <w:rPr>
                <w:rFonts w:ascii="微软雅黑" w:hAnsi="微软雅黑" w:eastAsia="微软雅黑"/>
                <w:snapToGrid w:val="0"/>
                <w:kern w:val="0"/>
                <w:sz w:val="20"/>
                <w:szCs w:val="20"/>
              </w:rPr>
            </w:pPr>
          </w:p>
        </w:tc>
        <w:tc>
          <w:tcPr>
            <w:tcW w:w="2835" w:type="dxa"/>
            <w:vAlign w:val="bottom"/>
          </w:tcPr>
          <w:p>
            <w:pPr>
              <w:spacing w:line="440" w:lineRule="exact"/>
              <w:jc w:val="left"/>
              <w:rPr>
                <w:rFonts w:ascii="微软雅黑" w:hAnsi="微软雅黑" w:eastAsia="微软雅黑"/>
                <w:snapToGrid w:val="0"/>
                <w:kern w:val="0"/>
                <w:sz w:val="20"/>
                <w:szCs w:val="20"/>
              </w:rPr>
            </w:pPr>
          </w:p>
        </w:tc>
        <w:tc>
          <w:tcPr>
            <w:tcW w:w="1275" w:type="dxa"/>
            <w:vAlign w:val="bottom"/>
          </w:tcPr>
          <w:p>
            <w:pPr>
              <w:spacing w:line="440" w:lineRule="exact"/>
              <w:jc w:val="left"/>
              <w:rPr>
                <w:rFonts w:ascii="微软雅黑" w:hAnsi="微软雅黑" w:eastAsia="微软雅黑"/>
                <w:snapToGrid w:val="0"/>
                <w:kern w:val="0"/>
                <w:sz w:val="20"/>
                <w:szCs w:val="20"/>
              </w:rPr>
            </w:pPr>
          </w:p>
        </w:tc>
      </w:tr>
    </w:tbl>
    <w:p>
      <w:pPr>
        <w:widowControl/>
        <w:jc w:val="left"/>
        <w:rPr>
          <w:rFonts w:ascii="微软雅黑" w:hAnsi="微软雅黑" w:eastAsia="微软雅黑" w:cs="黑体"/>
          <w:b/>
          <w:bCs/>
          <w:sz w:val="44"/>
          <w:szCs w:val="32"/>
        </w:rPr>
      </w:pPr>
    </w:p>
    <w:sectPr>
      <w:headerReference r:id="rId8" w:type="default"/>
      <w:pgSz w:w="11909" w:h="16834"/>
      <w:pgMar w:top="1440" w:right="1134" w:bottom="1440" w:left="1134" w:header="0" w:footer="907" w:gutter="0"/>
      <w:pgNumType w:fmt="decimalFullWidt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decorative"/>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rPr>
      <w:fldChar w:fldCharType="begin"/>
    </w:r>
    <w:r>
      <w:instrText xml:space="preserve">PAGE   \* MERGEFORMAT</w:instrText>
    </w:r>
    <w:r>
      <w:rPr>
        <w:rFonts w:hint="eastAsia"/>
      </w:rPr>
      <w:fldChar w:fldCharType="separate"/>
    </w:r>
    <w:r>
      <w:rPr>
        <w:rFonts w:hint="eastAsia"/>
        <w:lang w:val="zh-CN"/>
      </w:rPr>
      <w:t>１</w:t>
    </w:r>
    <w:r>
      <w:rPr>
        <w:rFonts w:hint="eastAsia"/>
        <w:lang w:val="zh-CN"/>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rPr>
      <w:fldChar w:fldCharType="begin"/>
    </w:r>
    <w:r>
      <w:instrText xml:space="preserve">PAGE   \* MERGEFORMAT</w:instrText>
    </w:r>
    <w:r>
      <w:rPr>
        <w:rFonts w:hint="eastAsia"/>
      </w:rPr>
      <w:fldChar w:fldCharType="separate"/>
    </w:r>
    <w:r>
      <w:rPr>
        <w:rFonts w:hint="eastAsia"/>
        <w:lang w:val="zh-CN"/>
      </w:rPr>
      <w:t>３</w:t>
    </w:r>
    <w:r>
      <w:rPr>
        <w:rFonts w:hint="eastAsia"/>
        <w:lang w:val="zh-CN"/>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rPr>
      <w:fldChar w:fldCharType="begin"/>
    </w:r>
    <w:r>
      <w:instrText xml:space="preserve">PAGE   \* MERGEFORMAT</w:instrText>
    </w:r>
    <w:r>
      <w:rPr>
        <w:rFonts w:hint="eastAsia"/>
      </w:rPr>
      <w:fldChar w:fldCharType="separate"/>
    </w:r>
    <w:r>
      <w:rPr>
        <w:rFonts w:hint="eastAsia"/>
        <w:lang w:val="zh-CN"/>
      </w:rPr>
      <w:t>１２</w:t>
    </w:r>
    <w:r>
      <w:rPr>
        <w:rFonts w:hint="eastAsia"/>
        <w:lang w:val="zh-CN"/>
      </w:rPr>
      <w:fldChar w:fldCharType="end"/>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rPr>
      <w:fldChar w:fldCharType="begin"/>
    </w:r>
    <w:r>
      <w:instrText xml:space="preserve">PAGE   \* MERGEFORMAT</w:instrText>
    </w:r>
    <w:r>
      <w:rPr>
        <w:rFonts w:hint="eastAsia"/>
      </w:rPr>
      <w:fldChar w:fldCharType="separate"/>
    </w:r>
    <w:r>
      <w:rPr>
        <w:rFonts w:hint="eastAsia"/>
        <w:lang w:val="zh-CN"/>
      </w:rPr>
      <w:t>２１</w:t>
    </w:r>
    <w:r>
      <w:rPr>
        <w:rFonts w:hint="eastAsia"/>
        <w:lang w:val="zh-CN"/>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singleLevel"/>
    <w:tmpl w:val="00000004"/>
    <w:lvl w:ilvl="0" w:tentative="0">
      <w:start w:val="16"/>
      <w:numFmt w:val="decimal"/>
      <w:lvlText w:val=""/>
      <w:lvlJc w:val="left"/>
      <w:pPr>
        <w:tabs>
          <w:tab w:val="left" w:pos="360"/>
        </w:tabs>
        <w:ind w:left="360" w:hanging="360"/>
      </w:pPr>
      <w:rPr>
        <w:rFonts w:hint="default"/>
      </w:rPr>
    </w:lvl>
  </w:abstractNum>
  <w:abstractNum w:abstractNumId="2">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decimal"/>
      <w:lvlText w:val="1.%2"/>
      <w:lvlJc w:val="left"/>
      <w:pPr>
        <w:tabs>
          <w:tab w:val="left" w:pos="992"/>
        </w:tabs>
        <w:ind w:left="992" w:hanging="567"/>
      </w:pPr>
      <w:rPr>
        <w:rFonts w:hint="eastAsia"/>
      </w:rPr>
    </w:lvl>
    <w:lvl w:ilvl="2" w:tentative="0">
      <w:start w:val="1"/>
      <w:numFmt w:val="decimal"/>
      <w:lvlText w:val="附件8－%3."/>
      <w:lvlJc w:val="left"/>
      <w:pPr>
        <w:tabs>
          <w:tab w:val="left" w:pos="1931"/>
        </w:tabs>
        <w:ind w:left="1418" w:hanging="567"/>
      </w:pPr>
      <w:rPr>
        <w:rFonts w:hint="eastAsia"/>
      </w:rPr>
    </w:lvl>
    <w:lvl w:ilvl="3" w:tentative="0">
      <w:start w:val="1"/>
      <w:numFmt w:val="decimal"/>
      <w:lvlText w:val="%1.%2"/>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D"/>
    <w:multiLevelType w:val="multilevel"/>
    <w:tmpl w:val="0000000D"/>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4">
    <w:nsid w:val="0000000F"/>
    <w:multiLevelType w:val="multilevel"/>
    <w:tmpl w:val="0000000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tabs>
          <w:tab w:val="left" w:pos="900"/>
        </w:tabs>
        <w:ind w:left="900" w:hanging="360"/>
      </w:pPr>
      <w:rPr>
        <w:rFonts w:ascii="宋体" w:hAnsi="宋体" w:eastAsia="宋体"/>
        <w:b w:val="0"/>
      </w:rPr>
    </w:lvl>
    <w:lvl w:ilvl="1" w:tentative="0">
      <w:start w:val="1"/>
      <w:numFmt w:val="none"/>
      <w:lvlText w:val="1)"/>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26"/>
    <w:multiLevelType w:val="multilevel"/>
    <w:tmpl w:val="00000026"/>
    <w:lvl w:ilvl="0" w:tentative="0">
      <w:start w:val="1"/>
      <w:numFmt w:val="upperRoman"/>
      <w:lvlText w:val="(%1)"/>
      <w:lvlJc w:val="left"/>
      <w:pPr>
        <w:tabs>
          <w:tab w:val="left" w:pos="1588"/>
        </w:tabs>
        <w:ind w:left="1588" w:hanging="851"/>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A"/>
    <w:multiLevelType w:val="multilevel"/>
    <w:tmpl w:val="0000002A"/>
    <w:lvl w:ilvl="0" w:tentative="0">
      <w:start w:val="1"/>
      <w:numFmt w:val="decimal"/>
      <w:lvlText w:val="%1)"/>
      <w:lvlJc w:val="left"/>
      <w:pPr>
        <w:tabs>
          <w:tab w:val="left" w:pos="465"/>
        </w:tabs>
        <w:ind w:left="465" w:hanging="255"/>
      </w:pPr>
      <w:rPr>
        <w:rFonts w:hint="eastAsia"/>
        <w:b w:val="0"/>
      </w:rPr>
    </w:lvl>
    <w:lvl w:ilvl="1" w:tentative="0">
      <w:start w:val="1"/>
      <w:numFmt w:val="japaneseCounting"/>
      <w:lvlText w:val="%2、"/>
      <w:lvlJc w:val="left"/>
      <w:pPr>
        <w:tabs>
          <w:tab w:val="left" w:pos="1140"/>
        </w:tabs>
        <w:ind w:left="1140" w:hanging="7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E"/>
    <w:multiLevelType w:val="multilevel"/>
    <w:tmpl w:val="0000002E"/>
    <w:lvl w:ilvl="0" w:tentative="0">
      <w:start w:val="1"/>
      <w:numFmt w:val="decimal"/>
      <w:lvlText w:val="%1)"/>
      <w:lvlJc w:val="left"/>
      <w:pPr>
        <w:tabs>
          <w:tab w:val="left" w:pos="840"/>
        </w:tabs>
        <w:ind w:left="84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C2F16FE"/>
    <w:multiLevelType w:val="multilevel"/>
    <w:tmpl w:val="0C2F16FE"/>
    <w:lvl w:ilvl="0" w:tentative="0">
      <w:start w:val="1"/>
      <w:numFmt w:val="decimal"/>
      <w:pStyle w:val="50"/>
      <w:lvlText w:val="%1)"/>
      <w:lvlJc w:val="left"/>
      <w:pPr>
        <w:ind w:left="846" w:hanging="420"/>
      </w:pPr>
      <w:rPr>
        <w:color w:val="auto"/>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0C831E30"/>
    <w:multiLevelType w:val="singleLevel"/>
    <w:tmpl w:val="0C831E30"/>
    <w:lvl w:ilvl="0" w:tentative="0">
      <w:start w:val="1"/>
      <w:numFmt w:val="chineseCountingThousand"/>
      <w:lvlText w:val="%1、"/>
      <w:lvlJc w:val="left"/>
      <w:pPr>
        <w:ind w:left="397" w:hanging="397"/>
      </w:pPr>
      <w:rPr>
        <w:rFonts w:hint="eastAsia"/>
      </w:rPr>
    </w:lvl>
  </w:abstractNum>
  <w:abstractNum w:abstractNumId="12">
    <w:nsid w:val="0E160AEA"/>
    <w:multiLevelType w:val="multilevel"/>
    <w:tmpl w:val="0E160A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3006C15"/>
    <w:multiLevelType w:val="multilevel"/>
    <w:tmpl w:val="23006C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8A13C8"/>
    <w:multiLevelType w:val="multilevel"/>
    <w:tmpl w:val="488A13C8"/>
    <w:lvl w:ilvl="0" w:tentative="0">
      <w:start w:val="1"/>
      <w:numFmt w:val="bullet"/>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15">
    <w:nsid w:val="5A1DF7D5"/>
    <w:multiLevelType w:val="singleLevel"/>
    <w:tmpl w:val="5A1DF7D5"/>
    <w:lvl w:ilvl="0" w:tentative="0">
      <w:start w:val="1"/>
      <w:numFmt w:val="chineseCountingThousand"/>
      <w:lvlText w:val="%1、"/>
      <w:lvlJc w:val="left"/>
      <w:pPr>
        <w:ind w:left="397" w:hanging="397"/>
      </w:pPr>
      <w:rPr>
        <w:rFonts w:hint="eastAsia"/>
      </w:rPr>
    </w:lvl>
  </w:abstractNum>
  <w:abstractNum w:abstractNumId="16">
    <w:nsid w:val="5D53C072"/>
    <w:multiLevelType w:val="singleLevel"/>
    <w:tmpl w:val="5D53C072"/>
    <w:lvl w:ilvl="0" w:tentative="0">
      <w:start w:val="1"/>
      <w:numFmt w:val="decimal"/>
      <w:suff w:val="nothing"/>
      <w:lvlText w:val="%1."/>
      <w:lvlJc w:val="left"/>
    </w:lvl>
  </w:abstractNum>
  <w:abstractNum w:abstractNumId="17">
    <w:nsid w:val="6FC5208C"/>
    <w:multiLevelType w:val="multilevel"/>
    <w:tmpl w:val="6FC5208C"/>
    <w:lvl w:ilvl="0" w:tentative="0">
      <w:start w:val="1"/>
      <w:numFmt w:val="decimal"/>
      <w:lvlText w:val="%1."/>
      <w:lvlJc w:val="left"/>
      <w:pPr>
        <w:ind w:left="360" w:hanging="360"/>
      </w:pPr>
      <w:rPr>
        <w:rFonts w:hint="default"/>
      </w:rPr>
    </w:lvl>
    <w:lvl w:ilvl="1" w:tentative="0">
      <w:start w:val="6"/>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0"/>
  </w:num>
  <w:num w:numId="2">
    <w:abstractNumId w:val="17"/>
  </w:num>
  <w:num w:numId="3">
    <w:abstractNumId w:val="12"/>
  </w:num>
  <w:num w:numId="4">
    <w:abstractNumId w:val="9"/>
  </w:num>
  <w:num w:numId="5">
    <w:abstractNumId w:val="8"/>
  </w:num>
  <w:num w:numId="6">
    <w:abstractNumId w:val="7"/>
  </w:num>
  <w:num w:numId="7">
    <w:abstractNumId w:val="2"/>
  </w:num>
  <w:num w:numId="8">
    <w:abstractNumId w:val="5"/>
  </w:num>
  <w:num w:numId="9">
    <w:abstractNumId w:val="14"/>
  </w:num>
  <w:num w:numId="10">
    <w:abstractNumId w:val="3"/>
  </w:num>
  <w:num w:numId="11">
    <w:abstractNumId w:val="1"/>
  </w:num>
  <w:num w:numId="12">
    <w:abstractNumId w:val="16"/>
  </w:num>
  <w:num w:numId="13">
    <w:abstractNumId w:val="15"/>
  </w:num>
  <w:num w:numId="14">
    <w:abstractNumId w:val="13"/>
  </w:num>
  <w:num w:numId="15">
    <w:abstractNumId w:val="11"/>
  </w:num>
  <w:num w:numId="16">
    <w:abstractNumId w:val="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48"/>
    <w:rsid w:val="000016CE"/>
    <w:rsid w:val="00001E60"/>
    <w:rsid w:val="00003065"/>
    <w:rsid w:val="0000370E"/>
    <w:rsid w:val="00004B12"/>
    <w:rsid w:val="000056A2"/>
    <w:rsid w:val="00005724"/>
    <w:rsid w:val="00006160"/>
    <w:rsid w:val="000074F1"/>
    <w:rsid w:val="000076EF"/>
    <w:rsid w:val="00007A4F"/>
    <w:rsid w:val="00007F9E"/>
    <w:rsid w:val="00010D22"/>
    <w:rsid w:val="00011740"/>
    <w:rsid w:val="00011C0B"/>
    <w:rsid w:val="00012661"/>
    <w:rsid w:val="0001313F"/>
    <w:rsid w:val="000132A7"/>
    <w:rsid w:val="00013389"/>
    <w:rsid w:val="00013909"/>
    <w:rsid w:val="00013914"/>
    <w:rsid w:val="00013A73"/>
    <w:rsid w:val="00013E8C"/>
    <w:rsid w:val="0001454E"/>
    <w:rsid w:val="0001472E"/>
    <w:rsid w:val="00014796"/>
    <w:rsid w:val="00016955"/>
    <w:rsid w:val="00016A9C"/>
    <w:rsid w:val="000170A8"/>
    <w:rsid w:val="00020BA6"/>
    <w:rsid w:val="00020EB5"/>
    <w:rsid w:val="000212F4"/>
    <w:rsid w:val="000221C2"/>
    <w:rsid w:val="00022870"/>
    <w:rsid w:val="00024113"/>
    <w:rsid w:val="000244DF"/>
    <w:rsid w:val="00024B33"/>
    <w:rsid w:val="00026F23"/>
    <w:rsid w:val="0002783B"/>
    <w:rsid w:val="0002790B"/>
    <w:rsid w:val="00030BE3"/>
    <w:rsid w:val="00031C4F"/>
    <w:rsid w:val="00032358"/>
    <w:rsid w:val="0003258A"/>
    <w:rsid w:val="00032C2B"/>
    <w:rsid w:val="000344B9"/>
    <w:rsid w:val="00035061"/>
    <w:rsid w:val="00035B73"/>
    <w:rsid w:val="00036C90"/>
    <w:rsid w:val="000409B1"/>
    <w:rsid w:val="00040AB0"/>
    <w:rsid w:val="00040C1E"/>
    <w:rsid w:val="00040E38"/>
    <w:rsid w:val="0004172D"/>
    <w:rsid w:val="0004237A"/>
    <w:rsid w:val="000427AF"/>
    <w:rsid w:val="00046A14"/>
    <w:rsid w:val="00050508"/>
    <w:rsid w:val="000509E8"/>
    <w:rsid w:val="00051C6D"/>
    <w:rsid w:val="000522C2"/>
    <w:rsid w:val="00052680"/>
    <w:rsid w:val="00053A78"/>
    <w:rsid w:val="00053B37"/>
    <w:rsid w:val="00053DFD"/>
    <w:rsid w:val="00053F7F"/>
    <w:rsid w:val="0005458C"/>
    <w:rsid w:val="00054E31"/>
    <w:rsid w:val="00055838"/>
    <w:rsid w:val="0006170B"/>
    <w:rsid w:val="00062291"/>
    <w:rsid w:val="000648F9"/>
    <w:rsid w:val="0006493B"/>
    <w:rsid w:val="000654C4"/>
    <w:rsid w:val="00066B8E"/>
    <w:rsid w:val="000670E3"/>
    <w:rsid w:val="00067D63"/>
    <w:rsid w:val="0007045E"/>
    <w:rsid w:val="00070627"/>
    <w:rsid w:val="000711D5"/>
    <w:rsid w:val="00071890"/>
    <w:rsid w:val="00071C5D"/>
    <w:rsid w:val="00072206"/>
    <w:rsid w:val="00072D40"/>
    <w:rsid w:val="00072FBA"/>
    <w:rsid w:val="00073A2A"/>
    <w:rsid w:val="0007482B"/>
    <w:rsid w:val="0007546E"/>
    <w:rsid w:val="00080638"/>
    <w:rsid w:val="000809B8"/>
    <w:rsid w:val="00081179"/>
    <w:rsid w:val="00082D1F"/>
    <w:rsid w:val="0008449B"/>
    <w:rsid w:val="00084FC5"/>
    <w:rsid w:val="000855A5"/>
    <w:rsid w:val="000856AB"/>
    <w:rsid w:val="00086000"/>
    <w:rsid w:val="00086320"/>
    <w:rsid w:val="00086B79"/>
    <w:rsid w:val="000872F7"/>
    <w:rsid w:val="000879AD"/>
    <w:rsid w:val="0009272D"/>
    <w:rsid w:val="00092D68"/>
    <w:rsid w:val="00092E5D"/>
    <w:rsid w:val="00092EFB"/>
    <w:rsid w:val="000968EC"/>
    <w:rsid w:val="000A069E"/>
    <w:rsid w:val="000A0D08"/>
    <w:rsid w:val="000A0E87"/>
    <w:rsid w:val="000A4DFD"/>
    <w:rsid w:val="000A55C9"/>
    <w:rsid w:val="000A580D"/>
    <w:rsid w:val="000A6872"/>
    <w:rsid w:val="000B17F8"/>
    <w:rsid w:val="000B1E36"/>
    <w:rsid w:val="000B2DE3"/>
    <w:rsid w:val="000B329A"/>
    <w:rsid w:val="000B3B6E"/>
    <w:rsid w:val="000B3C6A"/>
    <w:rsid w:val="000B4146"/>
    <w:rsid w:val="000B481B"/>
    <w:rsid w:val="000B4D45"/>
    <w:rsid w:val="000B5591"/>
    <w:rsid w:val="000B562F"/>
    <w:rsid w:val="000B5C40"/>
    <w:rsid w:val="000B5CFE"/>
    <w:rsid w:val="000B5D73"/>
    <w:rsid w:val="000B601A"/>
    <w:rsid w:val="000B66C8"/>
    <w:rsid w:val="000B6CDF"/>
    <w:rsid w:val="000C1091"/>
    <w:rsid w:val="000C12A8"/>
    <w:rsid w:val="000C1EFD"/>
    <w:rsid w:val="000C2F4F"/>
    <w:rsid w:val="000C34F3"/>
    <w:rsid w:val="000C4CF2"/>
    <w:rsid w:val="000C73AB"/>
    <w:rsid w:val="000C7534"/>
    <w:rsid w:val="000D06BF"/>
    <w:rsid w:val="000D0769"/>
    <w:rsid w:val="000D08B7"/>
    <w:rsid w:val="000D08C5"/>
    <w:rsid w:val="000D0CAE"/>
    <w:rsid w:val="000D1581"/>
    <w:rsid w:val="000D1EC9"/>
    <w:rsid w:val="000D3BE6"/>
    <w:rsid w:val="000D40EC"/>
    <w:rsid w:val="000D491D"/>
    <w:rsid w:val="000D4D58"/>
    <w:rsid w:val="000D4FBF"/>
    <w:rsid w:val="000D60AB"/>
    <w:rsid w:val="000D62AB"/>
    <w:rsid w:val="000D676A"/>
    <w:rsid w:val="000D7304"/>
    <w:rsid w:val="000E027F"/>
    <w:rsid w:val="000E03B5"/>
    <w:rsid w:val="000E0C34"/>
    <w:rsid w:val="000E13E0"/>
    <w:rsid w:val="000E1B21"/>
    <w:rsid w:val="000E2261"/>
    <w:rsid w:val="000E22FD"/>
    <w:rsid w:val="000E24F9"/>
    <w:rsid w:val="000E27BF"/>
    <w:rsid w:val="000E28C9"/>
    <w:rsid w:val="000E409C"/>
    <w:rsid w:val="000E5E92"/>
    <w:rsid w:val="000E6915"/>
    <w:rsid w:val="000E69C8"/>
    <w:rsid w:val="000E6E03"/>
    <w:rsid w:val="000E7A27"/>
    <w:rsid w:val="000E7F19"/>
    <w:rsid w:val="000F002F"/>
    <w:rsid w:val="000F013F"/>
    <w:rsid w:val="000F02C6"/>
    <w:rsid w:val="000F04B0"/>
    <w:rsid w:val="000F06AA"/>
    <w:rsid w:val="000F30C8"/>
    <w:rsid w:val="000F5FED"/>
    <w:rsid w:val="000F7F8E"/>
    <w:rsid w:val="000F7FF6"/>
    <w:rsid w:val="00100339"/>
    <w:rsid w:val="0010110D"/>
    <w:rsid w:val="001013D5"/>
    <w:rsid w:val="001014FD"/>
    <w:rsid w:val="00101F5D"/>
    <w:rsid w:val="001024F4"/>
    <w:rsid w:val="00102774"/>
    <w:rsid w:val="00102BD4"/>
    <w:rsid w:val="0010347A"/>
    <w:rsid w:val="00105614"/>
    <w:rsid w:val="001058AA"/>
    <w:rsid w:val="001066CB"/>
    <w:rsid w:val="00106C09"/>
    <w:rsid w:val="00106D1E"/>
    <w:rsid w:val="001072F7"/>
    <w:rsid w:val="0010785B"/>
    <w:rsid w:val="00107D4D"/>
    <w:rsid w:val="001109B7"/>
    <w:rsid w:val="00110D02"/>
    <w:rsid w:val="001112E3"/>
    <w:rsid w:val="001119E4"/>
    <w:rsid w:val="00111E37"/>
    <w:rsid w:val="0011215B"/>
    <w:rsid w:val="00112669"/>
    <w:rsid w:val="00112B0E"/>
    <w:rsid w:val="00114469"/>
    <w:rsid w:val="00114613"/>
    <w:rsid w:val="001151A5"/>
    <w:rsid w:val="00115CFA"/>
    <w:rsid w:val="001163AE"/>
    <w:rsid w:val="001172E9"/>
    <w:rsid w:val="00120B4C"/>
    <w:rsid w:val="00120E64"/>
    <w:rsid w:val="00120FAA"/>
    <w:rsid w:val="00121753"/>
    <w:rsid w:val="00121821"/>
    <w:rsid w:val="00121BFE"/>
    <w:rsid w:val="001221F9"/>
    <w:rsid w:val="0012296F"/>
    <w:rsid w:val="001236FB"/>
    <w:rsid w:val="001237C6"/>
    <w:rsid w:val="0012396E"/>
    <w:rsid w:val="00124282"/>
    <w:rsid w:val="00124F11"/>
    <w:rsid w:val="00125217"/>
    <w:rsid w:val="00131EF6"/>
    <w:rsid w:val="001327D2"/>
    <w:rsid w:val="0013292C"/>
    <w:rsid w:val="00133342"/>
    <w:rsid w:val="001349D9"/>
    <w:rsid w:val="001350C9"/>
    <w:rsid w:val="00135350"/>
    <w:rsid w:val="00135C78"/>
    <w:rsid w:val="001368C4"/>
    <w:rsid w:val="0013793D"/>
    <w:rsid w:val="00137FE9"/>
    <w:rsid w:val="00140C78"/>
    <w:rsid w:val="001425B2"/>
    <w:rsid w:val="001434F7"/>
    <w:rsid w:val="00143965"/>
    <w:rsid w:val="00145406"/>
    <w:rsid w:val="00147548"/>
    <w:rsid w:val="00147D12"/>
    <w:rsid w:val="0015261A"/>
    <w:rsid w:val="00152DDF"/>
    <w:rsid w:val="0015373A"/>
    <w:rsid w:val="00153A2D"/>
    <w:rsid w:val="001543AA"/>
    <w:rsid w:val="00154A9E"/>
    <w:rsid w:val="0015563D"/>
    <w:rsid w:val="00155A6C"/>
    <w:rsid w:val="0015619E"/>
    <w:rsid w:val="001569B7"/>
    <w:rsid w:val="00156D40"/>
    <w:rsid w:val="00157048"/>
    <w:rsid w:val="001609DC"/>
    <w:rsid w:val="001649E5"/>
    <w:rsid w:val="00164D0F"/>
    <w:rsid w:val="00164EBF"/>
    <w:rsid w:val="00165333"/>
    <w:rsid w:val="0016547F"/>
    <w:rsid w:val="00165927"/>
    <w:rsid w:val="0016656D"/>
    <w:rsid w:val="00166B87"/>
    <w:rsid w:val="001670DF"/>
    <w:rsid w:val="0016757D"/>
    <w:rsid w:val="001710DC"/>
    <w:rsid w:val="00171570"/>
    <w:rsid w:val="001717A5"/>
    <w:rsid w:val="001719C0"/>
    <w:rsid w:val="00171FD2"/>
    <w:rsid w:val="00174DE7"/>
    <w:rsid w:val="001754BE"/>
    <w:rsid w:val="00175835"/>
    <w:rsid w:val="00176F03"/>
    <w:rsid w:val="001801EA"/>
    <w:rsid w:val="00180948"/>
    <w:rsid w:val="00182681"/>
    <w:rsid w:val="00183FE2"/>
    <w:rsid w:val="001844F1"/>
    <w:rsid w:val="00185B51"/>
    <w:rsid w:val="00186C8E"/>
    <w:rsid w:val="00187458"/>
    <w:rsid w:val="00187F95"/>
    <w:rsid w:val="001900BB"/>
    <w:rsid w:val="00190CEF"/>
    <w:rsid w:val="00193534"/>
    <w:rsid w:val="001936ED"/>
    <w:rsid w:val="00193D52"/>
    <w:rsid w:val="00195392"/>
    <w:rsid w:val="00195D15"/>
    <w:rsid w:val="001A0EC0"/>
    <w:rsid w:val="001A22F4"/>
    <w:rsid w:val="001A28CC"/>
    <w:rsid w:val="001A39A0"/>
    <w:rsid w:val="001A4164"/>
    <w:rsid w:val="001A6A12"/>
    <w:rsid w:val="001A7064"/>
    <w:rsid w:val="001B1577"/>
    <w:rsid w:val="001B1BBD"/>
    <w:rsid w:val="001B2396"/>
    <w:rsid w:val="001B3856"/>
    <w:rsid w:val="001B3A4F"/>
    <w:rsid w:val="001B400B"/>
    <w:rsid w:val="001B40A0"/>
    <w:rsid w:val="001B5575"/>
    <w:rsid w:val="001B5F2C"/>
    <w:rsid w:val="001B764F"/>
    <w:rsid w:val="001B7905"/>
    <w:rsid w:val="001B7E73"/>
    <w:rsid w:val="001C01DB"/>
    <w:rsid w:val="001C0BA9"/>
    <w:rsid w:val="001C14D5"/>
    <w:rsid w:val="001C1ED2"/>
    <w:rsid w:val="001C2623"/>
    <w:rsid w:val="001C2A15"/>
    <w:rsid w:val="001C4057"/>
    <w:rsid w:val="001C45A5"/>
    <w:rsid w:val="001C4761"/>
    <w:rsid w:val="001C57C8"/>
    <w:rsid w:val="001C6F66"/>
    <w:rsid w:val="001C7109"/>
    <w:rsid w:val="001C7CB7"/>
    <w:rsid w:val="001D0A8D"/>
    <w:rsid w:val="001D1225"/>
    <w:rsid w:val="001D2725"/>
    <w:rsid w:val="001D2CDC"/>
    <w:rsid w:val="001D30B1"/>
    <w:rsid w:val="001D4CFA"/>
    <w:rsid w:val="001D5E2C"/>
    <w:rsid w:val="001D6572"/>
    <w:rsid w:val="001D6943"/>
    <w:rsid w:val="001D6D75"/>
    <w:rsid w:val="001D746F"/>
    <w:rsid w:val="001D7C53"/>
    <w:rsid w:val="001E05C2"/>
    <w:rsid w:val="001E1298"/>
    <w:rsid w:val="001E1821"/>
    <w:rsid w:val="001E2DCB"/>
    <w:rsid w:val="001E3BE7"/>
    <w:rsid w:val="001E51AB"/>
    <w:rsid w:val="001E5BA0"/>
    <w:rsid w:val="001E5DC4"/>
    <w:rsid w:val="001E6BDD"/>
    <w:rsid w:val="001E702A"/>
    <w:rsid w:val="001F0339"/>
    <w:rsid w:val="001F108C"/>
    <w:rsid w:val="001F2265"/>
    <w:rsid w:val="001F2C18"/>
    <w:rsid w:val="001F2EC8"/>
    <w:rsid w:val="001F3069"/>
    <w:rsid w:val="001F3637"/>
    <w:rsid w:val="001F468E"/>
    <w:rsid w:val="001F4AF6"/>
    <w:rsid w:val="001F5C53"/>
    <w:rsid w:val="001F5CA7"/>
    <w:rsid w:val="001F5E5B"/>
    <w:rsid w:val="001F5E94"/>
    <w:rsid w:val="001F6654"/>
    <w:rsid w:val="001F6BA9"/>
    <w:rsid w:val="001F72CA"/>
    <w:rsid w:val="001F7EFD"/>
    <w:rsid w:val="00200125"/>
    <w:rsid w:val="002012DB"/>
    <w:rsid w:val="002013BE"/>
    <w:rsid w:val="00205F34"/>
    <w:rsid w:val="002071EE"/>
    <w:rsid w:val="00210B87"/>
    <w:rsid w:val="002111C4"/>
    <w:rsid w:val="002114B8"/>
    <w:rsid w:val="002115E8"/>
    <w:rsid w:val="002121B8"/>
    <w:rsid w:val="0021222F"/>
    <w:rsid w:val="00212CB4"/>
    <w:rsid w:val="00213E2F"/>
    <w:rsid w:val="00214F3F"/>
    <w:rsid w:val="00216F67"/>
    <w:rsid w:val="002201A9"/>
    <w:rsid w:val="0022064E"/>
    <w:rsid w:val="002207B2"/>
    <w:rsid w:val="002216FD"/>
    <w:rsid w:val="00222F26"/>
    <w:rsid w:val="0022341D"/>
    <w:rsid w:val="00223F1B"/>
    <w:rsid w:val="00224AE1"/>
    <w:rsid w:val="00225F5D"/>
    <w:rsid w:val="00227021"/>
    <w:rsid w:val="00230926"/>
    <w:rsid w:val="00230EB2"/>
    <w:rsid w:val="0023385D"/>
    <w:rsid w:val="002348AA"/>
    <w:rsid w:val="00236BB1"/>
    <w:rsid w:val="00236CDC"/>
    <w:rsid w:val="0023777F"/>
    <w:rsid w:val="00237D99"/>
    <w:rsid w:val="0024083F"/>
    <w:rsid w:val="002427CC"/>
    <w:rsid w:val="00243521"/>
    <w:rsid w:val="00243615"/>
    <w:rsid w:val="0024373D"/>
    <w:rsid w:val="00243C00"/>
    <w:rsid w:val="0024440B"/>
    <w:rsid w:val="00244E33"/>
    <w:rsid w:val="00244FDD"/>
    <w:rsid w:val="00247EA4"/>
    <w:rsid w:val="002501A6"/>
    <w:rsid w:val="00251142"/>
    <w:rsid w:val="002512DD"/>
    <w:rsid w:val="002513FD"/>
    <w:rsid w:val="002529FE"/>
    <w:rsid w:val="00253908"/>
    <w:rsid w:val="00253F8B"/>
    <w:rsid w:val="002548E2"/>
    <w:rsid w:val="00255432"/>
    <w:rsid w:val="00255AEB"/>
    <w:rsid w:val="00255E3E"/>
    <w:rsid w:val="00257408"/>
    <w:rsid w:val="002577AA"/>
    <w:rsid w:val="002607D1"/>
    <w:rsid w:val="0026137F"/>
    <w:rsid w:val="00261666"/>
    <w:rsid w:val="002617CE"/>
    <w:rsid w:val="00262D16"/>
    <w:rsid w:val="00262ED3"/>
    <w:rsid w:val="00263FEA"/>
    <w:rsid w:val="00265109"/>
    <w:rsid w:val="002652E6"/>
    <w:rsid w:val="00265456"/>
    <w:rsid w:val="00265614"/>
    <w:rsid w:val="00265C1C"/>
    <w:rsid w:val="00266077"/>
    <w:rsid w:val="00266249"/>
    <w:rsid w:val="00267531"/>
    <w:rsid w:val="00271588"/>
    <w:rsid w:val="00272895"/>
    <w:rsid w:val="0027366D"/>
    <w:rsid w:val="002740A1"/>
    <w:rsid w:val="0027447A"/>
    <w:rsid w:val="00276E1B"/>
    <w:rsid w:val="00276EF7"/>
    <w:rsid w:val="00277FF0"/>
    <w:rsid w:val="00284219"/>
    <w:rsid w:val="00284C86"/>
    <w:rsid w:val="0028794A"/>
    <w:rsid w:val="00290568"/>
    <w:rsid w:val="002908DD"/>
    <w:rsid w:val="00291637"/>
    <w:rsid w:val="00291C39"/>
    <w:rsid w:val="00291DB7"/>
    <w:rsid w:val="00293895"/>
    <w:rsid w:val="00293CA7"/>
    <w:rsid w:val="00295982"/>
    <w:rsid w:val="00295BF4"/>
    <w:rsid w:val="00295E24"/>
    <w:rsid w:val="00295E65"/>
    <w:rsid w:val="0029796F"/>
    <w:rsid w:val="002A0571"/>
    <w:rsid w:val="002A0FA8"/>
    <w:rsid w:val="002A0FCF"/>
    <w:rsid w:val="002A2F4A"/>
    <w:rsid w:val="002A3265"/>
    <w:rsid w:val="002A523D"/>
    <w:rsid w:val="002A5DCD"/>
    <w:rsid w:val="002A5F62"/>
    <w:rsid w:val="002A609F"/>
    <w:rsid w:val="002A7F9F"/>
    <w:rsid w:val="002B0C0F"/>
    <w:rsid w:val="002B0ED9"/>
    <w:rsid w:val="002B19D8"/>
    <w:rsid w:val="002B25B3"/>
    <w:rsid w:val="002B2A4B"/>
    <w:rsid w:val="002B407E"/>
    <w:rsid w:val="002B4C13"/>
    <w:rsid w:val="002B5B5F"/>
    <w:rsid w:val="002B5E1F"/>
    <w:rsid w:val="002B6555"/>
    <w:rsid w:val="002B6778"/>
    <w:rsid w:val="002B6BD8"/>
    <w:rsid w:val="002B79DA"/>
    <w:rsid w:val="002C035A"/>
    <w:rsid w:val="002C0D12"/>
    <w:rsid w:val="002C0F62"/>
    <w:rsid w:val="002C1134"/>
    <w:rsid w:val="002C3B51"/>
    <w:rsid w:val="002C4168"/>
    <w:rsid w:val="002C463E"/>
    <w:rsid w:val="002C64B5"/>
    <w:rsid w:val="002C7A55"/>
    <w:rsid w:val="002D0E1B"/>
    <w:rsid w:val="002D13E7"/>
    <w:rsid w:val="002D1AB8"/>
    <w:rsid w:val="002D2AEC"/>
    <w:rsid w:val="002D2B1F"/>
    <w:rsid w:val="002D3E63"/>
    <w:rsid w:val="002D42F5"/>
    <w:rsid w:val="002D4451"/>
    <w:rsid w:val="002D5A58"/>
    <w:rsid w:val="002D64AD"/>
    <w:rsid w:val="002D757B"/>
    <w:rsid w:val="002D7F76"/>
    <w:rsid w:val="002E085A"/>
    <w:rsid w:val="002E1C97"/>
    <w:rsid w:val="002E2B08"/>
    <w:rsid w:val="002E2F05"/>
    <w:rsid w:val="002E36DC"/>
    <w:rsid w:val="002E3A3C"/>
    <w:rsid w:val="002E498E"/>
    <w:rsid w:val="002E5552"/>
    <w:rsid w:val="002E5DF5"/>
    <w:rsid w:val="002F09B8"/>
    <w:rsid w:val="002F184A"/>
    <w:rsid w:val="002F36AB"/>
    <w:rsid w:val="002F4017"/>
    <w:rsid w:val="002F415A"/>
    <w:rsid w:val="002F4187"/>
    <w:rsid w:val="002F4DD3"/>
    <w:rsid w:val="002F59A7"/>
    <w:rsid w:val="002F60C8"/>
    <w:rsid w:val="002F6B4B"/>
    <w:rsid w:val="002F7A9B"/>
    <w:rsid w:val="003010D1"/>
    <w:rsid w:val="00302B79"/>
    <w:rsid w:val="003039A8"/>
    <w:rsid w:val="00310EE5"/>
    <w:rsid w:val="0031183D"/>
    <w:rsid w:val="003129C3"/>
    <w:rsid w:val="00312C03"/>
    <w:rsid w:val="00312D51"/>
    <w:rsid w:val="003130BF"/>
    <w:rsid w:val="00313DE8"/>
    <w:rsid w:val="0031472C"/>
    <w:rsid w:val="003148CF"/>
    <w:rsid w:val="003150EE"/>
    <w:rsid w:val="003162E8"/>
    <w:rsid w:val="00316E8E"/>
    <w:rsid w:val="0031738E"/>
    <w:rsid w:val="0031764D"/>
    <w:rsid w:val="00317953"/>
    <w:rsid w:val="00320788"/>
    <w:rsid w:val="00320853"/>
    <w:rsid w:val="003219EE"/>
    <w:rsid w:val="00321A13"/>
    <w:rsid w:val="00323442"/>
    <w:rsid w:val="00323D78"/>
    <w:rsid w:val="00325236"/>
    <w:rsid w:val="00325AF6"/>
    <w:rsid w:val="00325D98"/>
    <w:rsid w:val="00325E8D"/>
    <w:rsid w:val="00325F18"/>
    <w:rsid w:val="003261A7"/>
    <w:rsid w:val="00326AC4"/>
    <w:rsid w:val="00326FE9"/>
    <w:rsid w:val="003273A2"/>
    <w:rsid w:val="003301AE"/>
    <w:rsid w:val="00330813"/>
    <w:rsid w:val="00331CE0"/>
    <w:rsid w:val="00333B87"/>
    <w:rsid w:val="00333C02"/>
    <w:rsid w:val="00333F5A"/>
    <w:rsid w:val="00334BCB"/>
    <w:rsid w:val="00335C5E"/>
    <w:rsid w:val="00340C3B"/>
    <w:rsid w:val="00340E1F"/>
    <w:rsid w:val="00341181"/>
    <w:rsid w:val="00341649"/>
    <w:rsid w:val="00343049"/>
    <w:rsid w:val="00344683"/>
    <w:rsid w:val="00344F90"/>
    <w:rsid w:val="00345CE6"/>
    <w:rsid w:val="00346D29"/>
    <w:rsid w:val="00346EAD"/>
    <w:rsid w:val="00347690"/>
    <w:rsid w:val="0035037B"/>
    <w:rsid w:val="0035098A"/>
    <w:rsid w:val="00350E92"/>
    <w:rsid w:val="0035107F"/>
    <w:rsid w:val="00351B64"/>
    <w:rsid w:val="00352581"/>
    <w:rsid w:val="00354993"/>
    <w:rsid w:val="003558A9"/>
    <w:rsid w:val="00356290"/>
    <w:rsid w:val="00357691"/>
    <w:rsid w:val="00357DD3"/>
    <w:rsid w:val="003604C9"/>
    <w:rsid w:val="00361C5B"/>
    <w:rsid w:val="003624F5"/>
    <w:rsid w:val="0036297C"/>
    <w:rsid w:val="00362D49"/>
    <w:rsid w:val="0036405C"/>
    <w:rsid w:val="003644EF"/>
    <w:rsid w:val="00364D1C"/>
    <w:rsid w:val="003650C4"/>
    <w:rsid w:val="003654E4"/>
    <w:rsid w:val="00366E59"/>
    <w:rsid w:val="00367D3C"/>
    <w:rsid w:val="00370128"/>
    <w:rsid w:val="00371004"/>
    <w:rsid w:val="00371F92"/>
    <w:rsid w:val="0037217E"/>
    <w:rsid w:val="003728D0"/>
    <w:rsid w:val="003728E6"/>
    <w:rsid w:val="003735C9"/>
    <w:rsid w:val="0037422A"/>
    <w:rsid w:val="0037435E"/>
    <w:rsid w:val="00376359"/>
    <w:rsid w:val="00376B56"/>
    <w:rsid w:val="003772E7"/>
    <w:rsid w:val="00380A38"/>
    <w:rsid w:val="00384712"/>
    <w:rsid w:val="003850E6"/>
    <w:rsid w:val="003871B8"/>
    <w:rsid w:val="00387D6A"/>
    <w:rsid w:val="00387D7D"/>
    <w:rsid w:val="00390305"/>
    <w:rsid w:val="00390411"/>
    <w:rsid w:val="0039111B"/>
    <w:rsid w:val="00391372"/>
    <w:rsid w:val="00393E23"/>
    <w:rsid w:val="00393E65"/>
    <w:rsid w:val="003940AD"/>
    <w:rsid w:val="00394403"/>
    <w:rsid w:val="00394998"/>
    <w:rsid w:val="0039516F"/>
    <w:rsid w:val="003978F5"/>
    <w:rsid w:val="00397B6C"/>
    <w:rsid w:val="003A20C3"/>
    <w:rsid w:val="003A3584"/>
    <w:rsid w:val="003A48CD"/>
    <w:rsid w:val="003A4C8A"/>
    <w:rsid w:val="003A50B8"/>
    <w:rsid w:val="003A50FE"/>
    <w:rsid w:val="003A5331"/>
    <w:rsid w:val="003A73AF"/>
    <w:rsid w:val="003B047A"/>
    <w:rsid w:val="003B1936"/>
    <w:rsid w:val="003B1F38"/>
    <w:rsid w:val="003B3027"/>
    <w:rsid w:val="003B371F"/>
    <w:rsid w:val="003B43C9"/>
    <w:rsid w:val="003B469A"/>
    <w:rsid w:val="003B4706"/>
    <w:rsid w:val="003B4B72"/>
    <w:rsid w:val="003B4D4E"/>
    <w:rsid w:val="003B735D"/>
    <w:rsid w:val="003C237C"/>
    <w:rsid w:val="003C3022"/>
    <w:rsid w:val="003C3715"/>
    <w:rsid w:val="003C38E0"/>
    <w:rsid w:val="003C3925"/>
    <w:rsid w:val="003C3931"/>
    <w:rsid w:val="003C3B42"/>
    <w:rsid w:val="003C5BFC"/>
    <w:rsid w:val="003C5D5C"/>
    <w:rsid w:val="003C6762"/>
    <w:rsid w:val="003C6BE1"/>
    <w:rsid w:val="003D09F2"/>
    <w:rsid w:val="003D16F3"/>
    <w:rsid w:val="003D1C4B"/>
    <w:rsid w:val="003D2749"/>
    <w:rsid w:val="003D2D0C"/>
    <w:rsid w:val="003D3544"/>
    <w:rsid w:val="003D4A3D"/>
    <w:rsid w:val="003D7518"/>
    <w:rsid w:val="003E09F9"/>
    <w:rsid w:val="003E17E4"/>
    <w:rsid w:val="003E440C"/>
    <w:rsid w:val="003E4BA9"/>
    <w:rsid w:val="003E4FF2"/>
    <w:rsid w:val="003E5209"/>
    <w:rsid w:val="003E5B14"/>
    <w:rsid w:val="003E5E24"/>
    <w:rsid w:val="003E7E50"/>
    <w:rsid w:val="003F0DEA"/>
    <w:rsid w:val="003F36F4"/>
    <w:rsid w:val="003F460B"/>
    <w:rsid w:val="003F469E"/>
    <w:rsid w:val="003F4BF1"/>
    <w:rsid w:val="003F5E3F"/>
    <w:rsid w:val="003F5F01"/>
    <w:rsid w:val="003F63DD"/>
    <w:rsid w:val="003F789E"/>
    <w:rsid w:val="00400140"/>
    <w:rsid w:val="0040112D"/>
    <w:rsid w:val="004015B8"/>
    <w:rsid w:val="00401B04"/>
    <w:rsid w:val="00402C38"/>
    <w:rsid w:val="00402DEF"/>
    <w:rsid w:val="0040429E"/>
    <w:rsid w:val="00405A53"/>
    <w:rsid w:val="00406DED"/>
    <w:rsid w:val="00407052"/>
    <w:rsid w:val="00412565"/>
    <w:rsid w:val="004140A8"/>
    <w:rsid w:val="0041466A"/>
    <w:rsid w:val="00417560"/>
    <w:rsid w:val="00417E6E"/>
    <w:rsid w:val="004205C8"/>
    <w:rsid w:val="00420AB6"/>
    <w:rsid w:val="00420EAB"/>
    <w:rsid w:val="00420EB3"/>
    <w:rsid w:val="00423C2B"/>
    <w:rsid w:val="00424424"/>
    <w:rsid w:val="00425131"/>
    <w:rsid w:val="00425219"/>
    <w:rsid w:val="00425C10"/>
    <w:rsid w:val="00426902"/>
    <w:rsid w:val="00427081"/>
    <w:rsid w:val="0042710F"/>
    <w:rsid w:val="0042718B"/>
    <w:rsid w:val="004278FD"/>
    <w:rsid w:val="0043097E"/>
    <w:rsid w:val="00432157"/>
    <w:rsid w:val="00432814"/>
    <w:rsid w:val="00432AED"/>
    <w:rsid w:val="00433434"/>
    <w:rsid w:val="00433D0F"/>
    <w:rsid w:val="00435361"/>
    <w:rsid w:val="00435EE4"/>
    <w:rsid w:val="004371C0"/>
    <w:rsid w:val="004373E2"/>
    <w:rsid w:val="0044031E"/>
    <w:rsid w:val="00440F4C"/>
    <w:rsid w:val="00441064"/>
    <w:rsid w:val="00443A06"/>
    <w:rsid w:val="004440DB"/>
    <w:rsid w:val="004447D1"/>
    <w:rsid w:val="0044490F"/>
    <w:rsid w:val="004455E8"/>
    <w:rsid w:val="00445F66"/>
    <w:rsid w:val="004467DE"/>
    <w:rsid w:val="00451E14"/>
    <w:rsid w:val="00452B5A"/>
    <w:rsid w:val="004530CC"/>
    <w:rsid w:val="004532B1"/>
    <w:rsid w:val="00453A6D"/>
    <w:rsid w:val="00455064"/>
    <w:rsid w:val="004561C2"/>
    <w:rsid w:val="00457A20"/>
    <w:rsid w:val="00457D78"/>
    <w:rsid w:val="00460EDD"/>
    <w:rsid w:val="00461627"/>
    <w:rsid w:val="00461925"/>
    <w:rsid w:val="00463374"/>
    <w:rsid w:val="0046378D"/>
    <w:rsid w:val="00463C36"/>
    <w:rsid w:val="0046448F"/>
    <w:rsid w:val="0046449F"/>
    <w:rsid w:val="00464A25"/>
    <w:rsid w:val="004657AE"/>
    <w:rsid w:val="00466632"/>
    <w:rsid w:val="004670C6"/>
    <w:rsid w:val="00471EC2"/>
    <w:rsid w:val="00472743"/>
    <w:rsid w:val="00472F9A"/>
    <w:rsid w:val="00473FA8"/>
    <w:rsid w:val="00474222"/>
    <w:rsid w:val="00475519"/>
    <w:rsid w:val="00475F94"/>
    <w:rsid w:val="004770DA"/>
    <w:rsid w:val="00477913"/>
    <w:rsid w:val="00481299"/>
    <w:rsid w:val="004818E3"/>
    <w:rsid w:val="00482057"/>
    <w:rsid w:val="0048268A"/>
    <w:rsid w:val="00482D0F"/>
    <w:rsid w:val="0048344B"/>
    <w:rsid w:val="00486539"/>
    <w:rsid w:val="00486D37"/>
    <w:rsid w:val="00487EE8"/>
    <w:rsid w:val="00490157"/>
    <w:rsid w:val="004902E9"/>
    <w:rsid w:val="004917CE"/>
    <w:rsid w:val="00491CCC"/>
    <w:rsid w:val="00493B29"/>
    <w:rsid w:val="004941F8"/>
    <w:rsid w:val="0049551F"/>
    <w:rsid w:val="004A05C5"/>
    <w:rsid w:val="004A0C4B"/>
    <w:rsid w:val="004A0DEB"/>
    <w:rsid w:val="004A0E7A"/>
    <w:rsid w:val="004A1D1D"/>
    <w:rsid w:val="004A22EF"/>
    <w:rsid w:val="004A2B6C"/>
    <w:rsid w:val="004A3AE3"/>
    <w:rsid w:val="004A3C6A"/>
    <w:rsid w:val="004A42E2"/>
    <w:rsid w:val="004A43A2"/>
    <w:rsid w:val="004A4EE6"/>
    <w:rsid w:val="004A5294"/>
    <w:rsid w:val="004A5D60"/>
    <w:rsid w:val="004B0DDD"/>
    <w:rsid w:val="004B12B1"/>
    <w:rsid w:val="004B40B9"/>
    <w:rsid w:val="004B41D4"/>
    <w:rsid w:val="004B59FE"/>
    <w:rsid w:val="004B5BD6"/>
    <w:rsid w:val="004B5E53"/>
    <w:rsid w:val="004B6037"/>
    <w:rsid w:val="004B699D"/>
    <w:rsid w:val="004B6BBE"/>
    <w:rsid w:val="004B6C80"/>
    <w:rsid w:val="004B6F5B"/>
    <w:rsid w:val="004C012C"/>
    <w:rsid w:val="004C01D4"/>
    <w:rsid w:val="004C1631"/>
    <w:rsid w:val="004C22B9"/>
    <w:rsid w:val="004C2FB0"/>
    <w:rsid w:val="004C443D"/>
    <w:rsid w:val="004C4699"/>
    <w:rsid w:val="004C4746"/>
    <w:rsid w:val="004C5F83"/>
    <w:rsid w:val="004C6C73"/>
    <w:rsid w:val="004C7A5D"/>
    <w:rsid w:val="004C7C7D"/>
    <w:rsid w:val="004D07AC"/>
    <w:rsid w:val="004D24C4"/>
    <w:rsid w:val="004D3A1A"/>
    <w:rsid w:val="004D49A5"/>
    <w:rsid w:val="004D5142"/>
    <w:rsid w:val="004D597D"/>
    <w:rsid w:val="004D77FF"/>
    <w:rsid w:val="004D7DB9"/>
    <w:rsid w:val="004E1DF6"/>
    <w:rsid w:val="004E27FE"/>
    <w:rsid w:val="004E32DC"/>
    <w:rsid w:val="004E3DA7"/>
    <w:rsid w:val="004E3ED9"/>
    <w:rsid w:val="004E4841"/>
    <w:rsid w:val="004E4F29"/>
    <w:rsid w:val="004E66DF"/>
    <w:rsid w:val="004F038F"/>
    <w:rsid w:val="004F0650"/>
    <w:rsid w:val="004F069D"/>
    <w:rsid w:val="004F0B22"/>
    <w:rsid w:val="004F18BB"/>
    <w:rsid w:val="004F1ADB"/>
    <w:rsid w:val="004F22CE"/>
    <w:rsid w:val="004F24A1"/>
    <w:rsid w:val="004F2B7F"/>
    <w:rsid w:val="004F3841"/>
    <w:rsid w:val="004F3E1A"/>
    <w:rsid w:val="004F3F1E"/>
    <w:rsid w:val="004F4780"/>
    <w:rsid w:val="004F53B2"/>
    <w:rsid w:val="004F53D0"/>
    <w:rsid w:val="004F78F1"/>
    <w:rsid w:val="00500AC4"/>
    <w:rsid w:val="00500D5A"/>
    <w:rsid w:val="00501D25"/>
    <w:rsid w:val="00501F9D"/>
    <w:rsid w:val="005033C1"/>
    <w:rsid w:val="00504004"/>
    <w:rsid w:val="0050538D"/>
    <w:rsid w:val="005057DD"/>
    <w:rsid w:val="00506926"/>
    <w:rsid w:val="00506C92"/>
    <w:rsid w:val="00507F67"/>
    <w:rsid w:val="005100E6"/>
    <w:rsid w:val="00510465"/>
    <w:rsid w:val="00511312"/>
    <w:rsid w:val="00512016"/>
    <w:rsid w:val="005122B6"/>
    <w:rsid w:val="005125BA"/>
    <w:rsid w:val="005134C2"/>
    <w:rsid w:val="00514771"/>
    <w:rsid w:val="00515F86"/>
    <w:rsid w:val="00516583"/>
    <w:rsid w:val="00517A06"/>
    <w:rsid w:val="0052097F"/>
    <w:rsid w:val="005209D6"/>
    <w:rsid w:val="0052109B"/>
    <w:rsid w:val="00521B7F"/>
    <w:rsid w:val="005236C0"/>
    <w:rsid w:val="005260D1"/>
    <w:rsid w:val="00526525"/>
    <w:rsid w:val="0052717D"/>
    <w:rsid w:val="00527304"/>
    <w:rsid w:val="0052746C"/>
    <w:rsid w:val="00527A9D"/>
    <w:rsid w:val="00527B80"/>
    <w:rsid w:val="00527C64"/>
    <w:rsid w:val="00527DD2"/>
    <w:rsid w:val="0053148C"/>
    <w:rsid w:val="005319A8"/>
    <w:rsid w:val="00531CE8"/>
    <w:rsid w:val="00532070"/>
    <w:rsid w:val="005322D8"/>
    <w:rsid w:val="00532E50"/>
    <w:rsid w:val="00535676"/>
    <w:rsid w:val="00535AA4"/>
    <w:rsid w:val="00535B8D"/>
    <w:rsid w:val="00537086"/>
    <w:rsid w:val="005379C9"/>
    <w:rsid w:val="00540218"/>
    <w:rsid w:val="0054037E"/>
    <w:rsid w:val="00540852"/>
    <w:rsid w:val="00540C4F"/>
    <w:rsid w:val="00543373"/>
    <w:rsid w:val="0054389C"/>
    <w:rsid w:val="00545007"/>
    <w:rsid w:val="00546ACF"/>
    <w:rsid w:val="005474EB"/>
    <w:rsid w:val="00547C26"/>
    <w:rsid w:val="0055040E"/>
    <w:rsid w:val="00550650"/>
    <w:rsid w:val="005506CC"/>
    <w:rsid w:val="00551A94"/>
    <w:rsid w:val="00552793"/>
    <w:rsid w:val="00553382"/>
    <w:rsid w:val="005546F7"/>
    <w:rsid w:val="00554BE0"/>
    <w:rsid w:val="00555ABE"/>
    <w:rsid w:val="00555F59"/>
    <w:rsid w:val="005565CB"/>
    <w:rsid w:val="00557E78"/>
    <w:rsid w:val="0056098C"/>
    <w:rsid w:val="00561F4A"/>
    <w:rsid w:val="005623AC"/>
    <w:rsid w:val="00563039"/>
    <w:rsid w:val="00563373"/>
    <w:rsid w:val="00563429"/>
    <w:rsid w:val="0056492E"/>
    <w:rsid w:val="00564EFA"/>
    <w:rsid w:val="005650F2"/>
    <w:rsid w:val="00565E2F"/>
    <w:rsid w:val="005663D4"/>
    <w:rsid w:val="00566DD0"/>
    <w:rsid w:val="00567236"/>
    <w:rsid w:val="005673CC"/>
    <w:rsid w:val="0056758C"/>
    <w:rsid w:val="005678B9"/>
    <w:rsid w:val="00567BC3"/>
    <w:rsid w:val="0057007E"/>
    <w:rsid w:val="0057040F"/>
    <w:rsid w:val="00570462"/>
    <w:rsid w:val="00572BD0"/>
    <w:rsid w:val="00573859"/>
    <w:rsid w:val="00573AD3"/>
    <w:rsid w:val="00575555"/>
    <w:rsid w:val="00576959"/>
    <w:rsid w:val="005769DD"/>
    <w:rsid w:val="0057746C"/>
    <w:rsid w:val="00577622"/>
    <w:rsid w:val="00580034"/>
    <w:rsid w:val="00580DC2"/>
    <w:rsid w:val="005814E4"/>
    <w:rsid w:val="00581959"/>
    <w:rsid w:val="00581E1E"/>
    <w:rsid w:val="005824D2"/>
    <w:rsid w:val="00582985"/>
    <w:rsid w:val="00583DA8"/>
    <w:rsid w:val="00583F96"/>
    <w:rsid w:val="005855B5"/>
    <w:rsid w:val="0058637D"/>
    <w:rsid w:val="005871A9"/>
    <w:rsid w:val="00590514"/>
    <w:rsid w:val="005919A5"/>
    <w:rsid w:val="00593588"/>
    <w:rsid w:val="00595687"/>
    <w:rsid w:val="005956C3"/>
    <w:rsid w:val="00595DE2"/>
    <w:rsid w:val="00596EB7"/>
    <w:rsid w:val="00597015"/>
    <w:rsid w:val="005A0E42"/>
    <w:rsid w:val="005A0F35"/>
    <w:rsid w:val="005A156D"/>
    <w:rsid w:val="005A183D"/>
    <w:rsid w:val="005A2945"/>
    <w:rsid w:val="005A459D"/>
    <w:rsid w:val="005A48DB"/>
    <w:rsid w:val="005A4E3C"/>
    <w:rsid w:val="005A52F7"/>
    <w:rsid w:val="005A5A30"/>
    <w:rsid w:val="005A5F21"/>
    <w:rsid w:val="005A6613"/>
    <w:rsid w:val="005A721D"/>
    <w:rsid w:val="005A73A2"/>
    <w:rsid w:val="005A7434"/>
    <w:rsid w:val="005B0437"/>
    <w:rsid w:val="005B05B4"/>
    <w:rsid w:val="005B1620"/>
    <w:rsid w:val="005B2265"/>
    <w:rsid w:val="005B2392"/>
    <w:rsid w:val="005B2DCD"/>
    <w:rsid w:val="005B30EA"/>
    <w:rsid w:val="005B362E"/>
    <w:rsid w:val="005B48D0"/>
    <w:rsid w:val="005B5A1B"/>
    <w:rsid w:val="005B5A3C"/>
    <w:rsid w:val="005C0EAD"/>
    <w:rsid w:val="005C23C4"/>
    <w:rsid w:val="005C355B"/>
    <w:rsid w:val="005C3E04"/>
    <w:rsid w:val="005C3E2A"/>
    <w:rsid w:val="005C4C01"/>
    <w:rsid w:val="005C6318"/>
    <w:rsid w:val="005C6724"/>
    <w:rsid w:val="005C67CF"/>
    <w:rsid w:val="005D1173"/>
    <w:rsid w:val="005D2B57"/>
    <w:rsid w:val="005D3453"/>
    <w:rsid w:val="005D3B0D"/>
    <w:rsid w:val="005D3C7C"/>
    <w:rsid w:val="005D43E7"/>
    <w:rsid w:val="005D6038"/>
    <w:rsid w:val="005D616E"/>
    <w:rsid w:val="005D6B97"/>
    <w:rsid w:val="005D71AF"/>
    <w:rsid w:val="005D78D2"/>
    <w:rsid w:val="005D7D6B"/>
    <w:rsid w:val="005E076B"/>
    <w:rsid w:val="005E16B5"/>
    <w:rsid w:val="005E18C0"/>
    <w:rsid w:val="005E206C"/>
    <w:rsid w:val="005E41C0"/>
    <w:rsid w:val="005E46B9"/>
    <w:rsid w:val="005E4ABD"/>
    <w:rsid w:val="005E4C53"/>
    <w:rsid w:val="005E5E66"/>
    <w:rsid w:val="005E6124"/>
    <w:rsid w:val="005E6FCE"/>
    <w:rsid w:val="005E78A0"/>
    <w:rsid w:val="005F2111"/>
    <w:rsid w:val="005F333D"/>
    <w:rsid w:val="005F565E"/>
    <w:rsid w:val="005F5781"/>
    <w:rsid w:val="005F66D8"/>
    <w:rsid w:val="005F78F4"/>
    <w:rsid w:val="00600F0E"/>
    <w:rsid w:val="006011BB"/>
    <w:rsid w:val="00601293"/>
    <w:rsid w:val="006018DE"/>
    <w:rsid w:val="00601B9D"/>
    <w:rsid w:val="00601CB5"/>
    <w:rsid w:val="00601E4B"/>
    <w:rsid w:val="00601E5C"/>
    <w:rsid w:val="006020EB"/>
    <w:rsid w:val="006023CB"/>
    <w:rsid w:val="00603514"/>
    <w:rsid w:val="006035C1"/>
    <w:rsid w:val="00604E78"/>
    <w:rsid w:val="00605DFE"/>
    <w:rsid w:val="00606CAC"/>
    <w:rsid w:val="00606E29"/>
    <w:rsid w:val="00607355"/>
    <w:rsid w:val="006073BD"/>
    <w:rsid w:val="00607983"/>
    <w:rsid w:val="00610B15"/>
    <w:rsid w:val="006125F4"/>
    <w:rsid w:val="00613664"/>
    <w:rsid w:val="00614C60"/>
    <w:rsid w:val="0061623B"/>
    <w:rsid w:val="006166ED"/>
    <w:rsid w:val="006178D7"/>
    <w:rsid w:val="00617F7D"/>
    <w:rsid w:val="006212C8"/>
    <w:rsid w:val="0062169E"/>
    <w:rsid w:val="00621919"/>
    <w:rsid w:val="006237C4"/>
    <w:rsid w:val="006245DF"/>
    <w:rsid w:val="00624ECA"/>
    <w:rsid w:val="00625765"/>
    <w:rsid w:val="00626DB6"/>
    <w:rsid w:val="0062758F"/>
    <w:rsid w:val="00630D28"/>
    <w:rsid w:val="006316A1"/>
    <w:rsid w:val="00631E45"/>
    <w:rsid w:val="00631EC6"/>
    <w:rsid w:val="00631F88"/>
    <w:rsid w:val="0063206A"/>
    <w:rsid w:val="00634114"/>
    <w:rsid w:val="006344A5"/>
    <w:rsid w:val="006346A2"/>
    <w:rsid w:val="006347AB"/>
    <w:rsid w:val="006358A8"/>
    <w:rsid w:val="00635E4D"/>
    <w:rsid w:val="00636495"/>
    <w:rsid w:val="00637490"/>
    <w:rsid w:val="0064022C"/>
    <w:rsid w:val="00640BB9"/>
    <w:rsid w:val="00640CFB"/>
    <w:rsid w:val="006415EA"/>
    <w:rsid w:val="00642194"/>
    <w:rsid w:val="006433CC"/>
    <w:rsid w:val="00644179"/>
    <w:rsid w:val="006443AE"/>
    <w:rsid w:val="00644948"/>
    <w:rsid w:val="00646871"/>
    <w:rsid w:val="006500C0"/>
    <w:rsid w:val="006502A3"/>
    <w:rsid w:val="006508C8"/>
    <w:rsid w:val="00653272"/>
    <w:rsid w:val="006538C7"/>
    <w:rsid w:val="00653A0E"/>
    <w:rsid w:val="00653D7D"/>
    <w:rsid w:val="00654535"/>
    <w:rsid w:val="00654635"/>
    <w:rsid w:val="00654E2C"/>
    <w:rsid w:val="006570CE"/>
    <w:rsid w:val="00657226"/>
    <w:rsid w:val="00660124"/>
    <w:rsid w:val="006604FD"/>
    <w:rsid w:val="00662AE8"/>
    <w:rsid w:val="00663330"/>
    <w:rsid w:val="006658C9"/>
    <w:rsid w:val="00665B08"/>
    <w:rsid w:val="00667030"/>
    <w:rsid w:val="00670560"/>
    <w:rsid w:val="00670964"/>
    <w:rsid w:val="00670DB3"/>
    <w:rsid w:val="00671039"/>
    <w:rsid w:val="00671370"/>
    <w:rsid w:val="00671CBC"/>
    <w:rsid w:val="006729CC"/>
    <w:rsid w:val="00674B96"/>
    <w:rsid w:val="00681F14"/>
    <w:rsid w:val="0068231E"/>
    <w:rsid w:val="00683BF6"/>
    <w:rsid w:val="006869DC"/>
    <w:rsid w:val="00686AB8"/>
    <w:rsid w:val="00690012"/>
    <w:rsid w:val="00690EBF"/>
    <w:rsid w:val="00691497"/>
    <w:rsid w:val="0069266A"/>
    <w:rsid w:val="006936DD"/>
    <w:rsid w:val="0069456C"/>
    <w:rsid w:val="00694784"/>
    <w:rsid w:val="006952A4"/>
    <w:rsid w:val="00696722"/>
    <w:rsid w:val="00696E83"/>
    <w:rsid w:val="0069714D"/>
    <w:rsid w:val="00697F72"/>
    <w:rsid w:val="006A0AA9"/>
    <w:rsid w:val="006A1056"/>
    <w:rsid w:val="006A15E2"/>
    <w:rsid w:val="006A164C"/>
    <w:rsid w:val="006A1747"/>
    <w:rsid w:val="006A199A"/>
    <w:rsid w:val="006A2BD9"/>
    <w:rsid w:val="006A446A"/>
    <w:rsid w:val="006A47FB"/>
    <w:rsid w:val="006A53E1"/>
    <w:rsid w:val="006A547F"/>
    <w:rsid w:val="006A563D"/>
    <w:rsid w:val="006A5811"/>
    <w:rsid w:val="006A5A15"/>
    <w:rsid w:val="006B047D"/>
    <w:rsid w:val="006B0713"/>
    <w:rsid w:val="006B08E9"/>
    <w:rsid w:val="006B101B"/>
    <w:rsid w:val="006B1044"/>
    <w:rsid w:val="006B1126"/>
    <w:rsid w:val="006B13B0"/>
    <w:rsid w:val="006B13BC"/>
    <w:rsid w:val="006B2465"/>
    <w:rsid w:val="006B2758"/>
    <w:rsid w:val="006B4CD2"/>
    <w:rsid w:val="006B5C94"/>
    <w:rsid w:val="006B6088"/>
    <w:rsid w:val="006B6A86"/>
    <w:rsid w:val="006B6C0D"/>
    <w:rsid w:val="006C0981"/>
    <w:rsid w:val="006C0CED"/>
    <w:rsid w:val="006C0FDD"/>
    <w:rsid w:val="006C1C31"/>
    <w:rsid w:val="006C24F9"/>
    <w:rsid w:val="006C2E60"/>
    <w:rsid w:val="006C316C"/>
    <w:rsid w:val="006C31DA"/>
    <w:rsid w:val="006C369D"/>
    <w:rsid w:val="006C3CEC"/>
    <w:rsid w:val="006C4AFB"/>
    <w:rsid w:val="006C4E0C"/>
    <w:rsid w:val="006C6A54"/>
    <w:rsid w:val="006C6E28"/>
    <w:rsid w:val="006D01F6"/>
    <w:rsid w:val="006D13EE"/>
    <w:rsid w:val="006D1707"/>
    <w:rsid w:val="006D1BF6"/>
    <w:rsid w:val="006D1F85"/>
    <w:rsid w:val="006D3C4C"/>
    <w:rsid w:val="006D4081"/>
    <w:rsid w:val="006D46E0"/>
    <w:rsid w:val="006D4FEA"/>
    <w:rsid w:val="006D5819"/>
    <w:rsid w:val="006E098A"/>
    <w:rsid w:val="006E0B8F"/>
    <w:rsid w:val="006E0CA3"/>
    <w:rsid w:val="006E0EE8"/>
    <w:rsid w:val="006E140D"/>
    <w:rsid w:val="006E44D3"/>
    <w:rsid w:val="006E4772"/>
    <w:rsid w:val="006E66E3"/>
    <w:rsid w:val="006E6BBF"/>
    <w:rsid w:val="006E7D8F"/>
    <w:rsid w:val="006F021F"/>
    <w:rsid w:val="006F0883"/>
    <w:rsid w:val="006F4563"/>
    <w:rsid w:val="006F4B9B"/>
    <w:rsid w:val="006F4D48"/>
    <w:rsid w:val="006F6570"/>
    <w:rsid w:val="006F6DE9"/>
    <w:rsid w:val="006F77B2"/>
    <w:rsid w:val="007001C1"/>
    <w:rsid w:val="00701FDC"/>
    <w:rsid w:val="00702632"/>
    <w:rsid w:val="00702A28"/>
    <w:rsid w:val="007037BA"/>
    <w:rsid w:val="007039B2"/>
    <w:rsid w:val="007047D7"/>
    <w:rsid w:val="00704955"/>
    <w:rsid w:val="007050D0"/>
    <w:rsid w:val="00705331"/>
    <w:rsid w:val="00706349"/>
    <w:rsid w:val="00710B65"/>
    <w:rsid w:val="00710D9E"/>
    <w:rsid w:val="007123FD"/>
    <w:rsid w:val="00712EE9"/>
    <w:rsid w:val="007145F0"/>
    <w:rsid w:val="007153F9"/>
    <w:rsid w:val="00715F09"/>
    <w:rsid w:val="007165F3"/>
    <w:rsid w:val="007202F9"/>
    <w:rsid w:val="00720AF1"/>
    <w:rsid w:val="007220DA"/>
    <w:rsid w:val="00722652"/>
    <w:rsid w:val="007235E5"/>
    <w:rsid w:val="007239D3"/>
    <w:rsid w:val="00724042"/>
    <w:rsid w:val="00724157"/>
    <w:rsid w:val="00724696"/>
    <w:rsid w:val="007247E5"/>
    <w:rsid w:val="0072505E"/>
    <w:rsid w:val="00725353"/>
    <w:rsid w:val="007306D6"/>
    <w:rsid w:val="007306FF"/>
    <w:rsid w:val="00731112"/>
    <w:rsid w:val="007326EF"/>
    <w:rsid w:val="0073283F"/>
    <w:rsid w:val="00732908"/>
    <w:rsid w:val="00732FD0"/>
    <w:rsid w:val="00733054"/>
    <w:rsid w:val="00734CE9"/>
    <w:rsid w:val="00735FAD"/>
    <w:rsid w:val="00740A79"/>
    <w:rsid w:val="007415B2"/>
    <w:rsid w:val="00742729"/>
    <w:rsid w:val="00743119"/>
    <w:rsid w:val="00743D45"/>
    <w:rsid w:val="00744D73"/>
    <w:rsid w:val="0074521D"/>
    <w:rsid w:val="00747C24"/>
    <w:rsid w:val="00747DC1"/>
    <w:rsid w:val="00747FF5"/>
    <w:rsid w:val="00750DAF"/>
    <w:rsid w:val="007528A1"/>
    <w:rsid w:val="00752A43"/>
    <w:rsid w:val="00752B45"/>
    <w:rsid w:val="00753ACC"/>
    <w:rsid w:val="00754332"/>
    <w:rsid w:val="00754B14"/>
    <w:rsid w:val="00755C41"/>
    <w:rsid w:val="00761A0F"/>
    <w:rsid w:val="0076251F"/>
    <w:rsid w:val="007631CA"/>
    <w:rsid w:val="00764305"/>
    <w:rsid w:val="00764E72"/>
    <w:rsid w:val="00764EFC"/>
    <w:rsid w:val="00765307"/>
    <w:rsid w:val="00766261"/>
    <w:rsid w:val="00767063"/>
    <w:rsid w:val="00767AB7"/>
    <w:rsid w:val="00770D66"/>
    <w:rsid w:val="00771586"/>
    <w:rsid w:val="0077177D"/>
    <w:rsid w:val="00771A5C"/>
    <w:rsid w:val="00771FDC"/>
    <w:rsid w:val="007730F4"/>
    <w:rsid w:val="007737F1"/>
    <w:rsid w:val="00776DE1"/>
    <w:rsid w:val="00777251"/>
    <w:rsid w:val="00777A0E"/>
    <w:rsid w:val="00780008"/>
    <w:rsid w:val="007806A9"/>
    <w:rsid w:val="007809A3"/>
    <w:rsid w:val="00781D26"/>
    <w:rsid w:val="007824F7"/>
    <w:rsid w:val="00784990"/>
    <w:rsid w:val="00784BD9"/>
    <w:rsid w:val="0078546F"/>
    <w:rsid w:val="00785EAA"/>
    <w:rsid w:val="007863A4"/>
    <w:rsid w:val="00786A42"/>
    <w:rsid w:val="00786BAB"/>
    <w:rsid w:val="00786E7B"/>
    <w:rsid w:val="007876EF"/>
    <w:rsid w:val="00790DD7"/>
    <w:rsid w:val="007924A4"/>
    <w:rsid w:val="00792699"/>
    <w:rsid w:val="00792AA3"/>
    <w:rsid w:val="007933C0"/>
    <w:rsid w:val="007952B5"/>
    <w:rsid w:val="00796F79"/>
    <w:rsid w:val="00796FAF"/>
    <w:rsid w:val="00797335"/>
    <w:rsid w:val="007976A1"/>
    <w:rsid w:val="007A00C0"/>
    <w:rsid w:val="007A03E3"/>
    <w:rsid w:val="007A0503"/>
    <w:rsid w:val="007A053D"/>
    <w:rsid w:val="007A119F"/>
    <w:rsid w:val="007A20BE"/>
    <w:rsid w:val="007A294F"/>
    <w:rsid w:val="007A2C73"/>
    <w:rsid w:val="007A2D50"/>
    <w:rsid w:val="007A7F80"/>
    <w:rsid w:val="007B0C95"/>
    <w:rsid w:val="007B2D51"/>
    <w:rsid w:val="007B2F5A"/>
    <w:rsid w:val="007B3369"/>
    <w:rsid w:val="007B35CE"/>
    <w:rsid w:val="007B48A2"/>
    <w:rsid w:val="007B516F"/>
    <w:rsid w:val="007B5FE2"/>
    <w:rsid w:val="007B725D"/>
    <w:rsid w:val="007B789D"/>
    <w:rsid w:val="007C0E65"/>
    <w:rsid w:val="007C1370"/>
    <w:rsid w:val="007C289C"/>
    <w:rsid w:val="007C3914"/>
    <w:rsid w:val="007C5177"/>
    <w:rsid w:val="007C518C"/>
    <w:rsid w:val="007C5BF5"/>
    <w:rsid w:val="007C63E3"/>
    <w:rsid w:val="007C6B34"/>
    <w:rsid w:val="007D0355"/>
    <w:rsid w:val="007D17F2"/>
    <w:rsid w:val="007D2707"/>
    <w:rsid w:val="007D2723"/>
    <w:rsid w:val="007D3E88"/>
    <w:rsid w:val="007D45CD"/>
    <w:rsid w:val="007D59C8"/>
    <w:rsid w:val="007D7B36"/>
    <w:rsid w:val="007D7B62"/>
    <w:rsid w:val="007E1358"/>
    <w:rsid w:val="007E1D68"/>
    <w:rsid w:val="007E29A8"/>
    <w:rsid w:val="007E344B"/>
    <w:rsid w:val="007E3472"/>
    <w:rsid w:val="007E4672"/>
    <w:rsid w:val="007E48B0"/>
    <w:rsid w:val="007E5537"/>
    <w:rsid w:val="007E5588"/>
    <w:rsid w:val="007E577D"/>
    <w:rsid w:val="007E614E"/>
    <w:rsid w:val="007E6A80"/>
    <w:rsid w:val="007F09B9"/>
    <w:rsid w:val="007F0CC4"/>
    <w:rsid w:val="007F1342"/>
    <w:rsid w:val="007F1A00"/>
    <w:rsid w:val="007F3400"/>
    <w:rsid w:val="007F347C"/>
    <w:rsid w:val="007F3579"/>
    <w:rsid w:val="007F3C8B"/>
    <w:rsid w:val="007F4D1E"/>
    <w:rsid w:val="007F5225"/>
    <w:rsid w:val="007F5532"/>
    <w:rsid w:val="007F58CA"/>
    <w:rsid w:val="007F7048"/>
    <w:rsid w:val="007F7616"/>
    <w:rsid w:val="0080015F"/>
    <w:rsid w:val="008002D5"/>
    <w:rsid w:val="008009EC"/>
    <w:rsid w:val="00800C1F"/>
    <w:rsid w:val="008021D6"/>
    <w:rsid w:val="008024C0"/>
    <w:rsid w:val="00802720"/>
    <w:rsid w:val="00802D2D"/>
    <w:rsid w:val="00802D94"/>
    <w:rsid w:val="008035B6"/>
    <w:rsid w:val="00803E78"/>
    <w:rsid w:val="00804FD7"/>
    <w:rsid w:val="00806920"/>
    <w:rsid w:val="00810AAC"/>
    <w:rsid w:val="008112A8"/>
    <w:rsid w:val="00814C2A"/>
    <w:rsid w:val="008170B2"/>
    <w:rsid w:val="00817828"/>
    <w:rsid w:val="00820394"/>
    <w:rsid w:val="008209B7"/>
    <w:rsid w:val="00821439"/>
    <w:rsid w:val="00821971"/>
    <w:rsid w:val="00821DA7"/>
    <w:rsid w:val="008234A8"/>
    <w:rsid w:val="00825BEB"/>
    <w:rsid w:val="0082676B"/>
    <w:rsid w:val="00827747"/>
    <w:rsid w:val="00827C17"/>
    <w:rsid w:val="008300A7"/>
    <w:rsid w:val="0083019D"/>
    <w:rsid w:val="00830331"/>
    <w:rsid w:val="008313ED"/>
    <w:rsid w:val="00831B8C"/>
    <w:rsid w:val="0083209C"/>
    <w:rsid w:val="00832B87"/>
    <w:rsid w:val="00833189"/>
    <w:rsid w:val="00833698"/>
    <w:rsid w:val="00833853"/>
    <w:rsid w:val="008348C0"/>
    <w:rsid w:val="00835071"/>
    <w:rsid w:val="0083668B"/>
    <w:rsid w:val="008366A2"/>
    <w:rsid w:val="00836C63"/>
    <w:rsid w:val="00836CF6"/>
    <w:rsid w:val="00836F6C"/>
    <w:rsid w:val="008371F2"/>
    <w:rsid w:val="00840AB0"/>
    <w:rsid w:val="00840E00"/>
    <w:rsid w:val="00843A4F"/>
    <w:rsid w:val="00843C0B"/>
    <w:rsid w:val="00844174"/>
    <w:rsid w:val="008442F7"/>
    <w:rsid w:val="008450F3"/>
    <w:rsid w:val="0084535D"/>
    <w:rsid w:val="00845D64"/>
    <w:rsid w:val="00846959"/>
    <w:rsid w:val="00850398"/>
    <w:rsid w:val="00851427"/>
    <w:rsid w:val="00851ACF"/>
    <w:rsid w:val="00851D3B"/>
    <w:rsid w:val="00851D6A"/>
    <w:rsid w:val="00852C55"/>
    <w:rsid w:val="00853013"/>
    <w:rsid w:val="00853B08"/>
    <w:rsid w:val="00853D56"/>
    <w:rsid w:val="00854193"/>
    <w:rsid w:val="008560B3"/>
    <w:rsid w:val="00856123"/>
    <w:rsid w:val="00856588"/>
    <w:rsid w:val="00857223"/>
    <w:rsid w:val="008576CB"/>
    <w:rsid w:val="008576DC"/>
    <w:rsid w:val="00857ABF"/>
    <w:rsid w:val="008609EC"/>
    <w:rsid w:val="00861526"/>
    <w:rsid w:val="00862564"/>
    <w:rsid w:val="00863324"/>
    <w:rsid w:val="008637D8"/>
    <w:rsid w:val="00863A00"/>
    <w:rsid w:val="00863B4C"/>
    <w:rsid w:val="0086402D"/>
    <w:rsid w:val="0086537B"/>
    <w:rsid w:val="00865E9E"/>
    <w:rsid w:val="00867659"/>
    <w:rsid w:val="00870C81"/>
    <w:rsid w:val="00870EE9"/>
    <w:rsid w:val="008710C9"/>
    <w:rsid w:val="00871201"/>
    <w:rsid w:val="00871C51"/>
    <w:rsid w:val="008724D5"/>
    <w:rsid w:val="008743C3"/>
    <w:rsid w:val="00874981"/>
    <w:rsid w:val="0087574D"/>
    <w:rsid w:val="00877BE4"/>
    <w:rsid w:val="00877ECD"/>
    <w:rsid w:val="008800A2"/>
    <w:rsid w:val="0088038D"/>
    <w:rsid w:val="00880791"/>
    <w:rsid w:val="00880B3C"/>
    <w:rsid w:val="008815B3"/>
    <w:rsid w:val="008826BE"/>
    <w:rsid w:val="00882758"/>
    <w:rsid w:val="008832F3"/>
    <w:rsid w:val="008846AC"/>
    <w:rsid w:val="00884D9D"/>
    <w:rsid w:val="00884F22"/>
    <w:rsid w:val="00885BD3"/>
    <w:rsid w:val="00886719"/>
    <w:rsid w:val="008869D9"/>
    <w:rsid w:val="00886C05"/>
    <w:rsid w:val="00890958"/>
    <w:rsid w:val="008928E4"/>
    <w:rsid w:val="00892AAB"/>
    <w:rsid w:val="00892DE1"/>
    <w:rsid w:val="00893290"/>
    <w:rsid w:val="008932CF"/>
    <w:rsid w:val="0089391A"/>
    <w:rsid w:val="00893BC2"/>
    <w:rsid w:val="00895150"/>
    <w:rsid w:val="0089558B"/>
    <w:rsid w:val="00895ECF"/>
    <w:rsid w:val="008A0210"/>
    <w:rsid w:val="008A03EF"/>
    <w:rsid w:val="008A164E"/>
    <w:rsid w:val="008A24CD"/>
    <w:rsid w:val="008A2BA6"/>
    <w:rsid w:val="008A2EB6"/>
    <w:rsid w:val="008A4F29"/>
    <w:rsid w:val="008A535F"/>
    <w:rsid w:val="008A568E"/>
    <w:rsid w:val="008A5F0C"/>
    <w:rsid w:val="008A636E"/>
    <w:rsid w:val="008A69FB"/>
    <w:rsid w:val="008A7876"/>
    <w:rsid w:val="008A7EA4"/>
    <w:rsid w:val="008B00BE"/>
    <w:rsid w:val="008B0BD6"/>
    <w:rsid w:val="008B0DD2"/>
    <w:rsid w:val="008B0E17"/>
    <w:rsid w:val="008B2034"/>
    <w:rsid w:val="008B286C"/>
    <w:rsid w:val="008B2B2D"/>
    <w:rsid w:val="008B398E"/>
    <w:rsid w:val="008B3C19"/>
    <w:rsid w:val="008B62E0"/>
    <w:rsid w:val="008B6854"/>
    <w:rsid w:val="008B70A4"/>
    <w:rsid w:val="008C007D"/>
    <w:rsid w:val="008C1807"/>
    <w:rsid w:val="008C21F2"/>
    <w:rsid w:val="008C306F"/>
    <w:rsid w:val="008C4B7A"/>
    <w:rsid w:val="008C4E32"/>
    <w:rsid w:val="008C5082"/>
    <w:rsid w:val="008C5537"/>
    <w:rsid w:val="008C5DBE"/>
    <w:rsid w:val="008C689E"/>
    <w:rsid w:val="008C6BE4"/>
    <w:rsid w:val="008C7522"/>
    <w:rsid w:val="008C7866"/>
    <w:rsid w:val="008C7BF1"/>
    <w:rsid w:val="008D29C0"/>
    <w:rsid w:val="008D318E"/>
    <w:rsid w:val="008D49ED"/>
    <w:rsid w:val="008D6515"/>
    <w:rsid w:val="008D704E"/>
    <w:rsid w:val="008D7071"/>
    <w:rsid w:val="008E0442"/>
    <w:rsid w:val="008E0AEE"/>
    <w:rsid w:val="008E1D3A"/>
    <w:rsid w:val="008E22C5"/>
    <w:rsid w:val="008E29E0"/>
    <w:rsid w:val="008E2A2B"/>
    <w:rsid w:val="008E45D1"/>
    <w:rsid w:val="008E5DD1"/>
    <w:rsid w:val="008E6021"/>
    <w:rsid w:val="008E7485"/>
    <w:rsid w:val="008F0FCD"/>
    <w:rsid w:val="008F23C6"/>
    <w:rsid w:val="008F2A31"/>
    <w:rsid w:val="008F39F4"/>
    <w:rsid w:val="008F3E27"/>
    <w:rsid w:val="008F4197"/>
    <w:rsid w:val="008F4456"/>
    <w:rsid w:val="008F5A23"/>
    <w:rsid w:val="008F6A53"/>
    <w:rsid w:val="008F6B9A"/>
    <w:rsid w:val="008F7E1D"/>
    <w:rsid w:val="00901CEC"/>
    <w:rsid w:val="00901FF0"/>
    <w:rsid w:val="00902095"/>
    <w:rsid w:val="00902AD5"/>
    <w:rsid w:val="00903963"/>
    <w:rsid w:val="00903A25"/>
    <w:rsid w:val="009041E4"/>
    <w:rsid w:val="009049BA"/>
    <w:rsid w:val="00907110"/>
    <w:rsid w:val="00907B1A"/>
    <w:rsid w:val="00910A08"/>
    <w:rsid w:val="00910AF4"/>
    <w:rsid w:val="009126FC"/>
    <w:rsid w:val="00913098"/>
    <w:rsid w:val="009136A6"/>
    <w:rsid w:val="0091413B"/>
    <w:rsid w:val="00917BC0"/>
    <w:rsid w:val="009206EB"/>
    <w:rsid w:val="00922A49"/>
    <w:rsid w:val="0092315E"/>
    <w:rsid w:val="00924103"/>
    <w:rsid w:val="00924160"/>
    <w:rsid w:val="00924C6D"/>
    <w:rsid w:val="0092516E"/>
    <w:rsid w:val="009256EF"/>
    <w:rsid w:val="009258CA"/>
    <w:rsid w:val="00925950"/>
    <w:rsid w:val="00926B24"/>
    <w:rsid w:val="00927674"/>
    <w:rsid w:val="00927745"/>
    <w:rsid w:val="0093262C"/>
    <w:rsid w:val="00932E66"/>
    <w:rsid w:val="009335B9"/>
    <w:rsid w:val="00934007"/>
    <w:rsid w:val="00934948"/>
    <w:rsid w:val="00935719"/>
    <w:rsid w:val="00935813"/>
    <w:rsid w:val="009404A4"/>
    <w:rsid w:val="00940715"/>
    <w:rsid w:val="0094084E"/>
    <w:rsid w:val="009427F7"/>
    <w:rsid w:val="00942B84"/>
    <w:rsid w:val="0094359B"/>
    <w:rsid w:val="00943730"/>
    <w:rsid w:val="00943CB2"/>
    <w:rsid w:val="00944145"/>
    <w:rsid w:val="00946AE7"/>
    <w:rsid w:val="00947433"/>
    <w:rsid w:val="00947515"/>
    <w:rsid w:val="00947B48"/>
    <w:rsid w:val="00951947"/>
    <w:rsid w:val="00951E02"/>
    <w:rsid w:val="00952761"/>
    <w:rsid w:val="00952951"/>
    <w:rsid w:val="0095340F"/>
    <w:rsid w:val="00954138"/>
    <w:rsid w:val="00954FB7"/>
    <w:rsid w:val="0095670D"/>
    <w:rsid w:val="0095744A"/>
    <w:rsid w:val="00957BB5"/>
    <w:rsid w:val="009614ED"/>
    <w:rsid w:val="0096176E"/>
    <w:rsid w:val="00961E54"/>
    <w:rsid w:val="00961F3D"/>
    <w:rsid w:val="00962720"/>
    <w:rsid w:val="009646CF"/>
    <w:rsid w:val="00964DCD"/>
    <w:rsid w:val="00966206"/>
    <w:rsid w:val="009663FA"/>
    <w:rsid w:val="009669FD"/>
    <w:rsid w:val="00966A3E"/>
    <w:rsid w:val="00970C54"/>
    <w:rsid w:val="00971540"/>
    <w:rsid w:val="00972F01"/>
    <w:rsid w:val="009748A0"/>
    <w:rsid w:val="009749F2"/>
    <w:rsid w:val="00976EEC"/>
    <w:rsid w:val="00977EF2"/>
    <w:rsid w:val="00977F45"/>
    <w:rsid w:val="0098059B"/>
    <w:rsid w:val="009806DF"/>
    <w:rsid w:val="00980BEB"/>
    <w:rsid w:val="00980EDF"/>
    <w:rsid w:val="00981017"/>
    <w:rsid w:val="00981184"/>
    <w:rsid w:val="00981E04"/>
    <w:rsid w:val="0098232D"/>
    <w:rsid w:val="0098397B"/>
    <w:rsid w:val="009856B3"/>
    <w:rsid w:val="009856B5"/>
    <w:rsid w:val="009858E2"/>
    <w:rsid w:val="00985DB8"/>
    <w:rsid w:val="009864C9"/>
    <w:rsid w:val="00986BB4"/>
    <w:rsid w:val="00986C7D"/>
    <w:rsid w:val="00987932"/>
    <w:rsid w:val="00987AFE"/>
    <w:rsid w:val="009910BB"/>
    <w:rsid w:val="009912D3"/>
    <w:rsid w:val="009917F4"/>
    <w:rsid w:val="00991A30"/>
    <w:rsid w:val="00992029"/>
    <w:rsid w:val="00992D18"/>
    <w:rsid w:val="00993DE2"/>
    <w:rsid w:val="00995E53"/>
    <w:rsid w:val="00996118"/>
    <w:rsid w:val="00996EA0"/>
    <w:rsid w:val="0099731A"/>
    <w:rsid w:val="00997DCD"/>
    <w:rsid w:val="00997F21"/>
    <w:rsid w:val="009A0846"/>
    <w:rsid w:val="009A0A21"/>
    <w:rsid w:val="009A10E1"/>
    <w:rsid w:val="009A3343"/>
    <w:rsid w:val="009A33F0"/>
    <w:rsid w:val="009A3481"/>
    <w:rsid w:val="009A4169"/>
    <w:rsid w:val="009A4695"/>
    <w:rsid w:val="009A494F"/>
    <w:rsid w:val="009A66CD"/>
    <w:rsid w:val="009A7E08"/>
    <w:rsid w:val="009A7EE9"/>
    <w:rsid w:val="009B08AE"/>
    <w:rsid w:val="009B11A3"/>
    <w:rsid w:val="009B1398"/>
    <w:rsid w:val="009B2AF4"/>
    <w:rsid w:val="009B333F"/>
    <w:rsid w:val="009B34C8"/>
    <w:rsid w:val="009B3FF0"/>
    <w:rsid w:val="009B464C"/>
    <w:rsid w:val="009B4F11"/>
    <w:rsid w:val="009B5813"/>
    <w:rsid w:val="009B5FC7"/>
    <w:rsid w:val="009B6160"/>
    <w:rsid w:val="009B6399"/>
    <w:rsid w:val="009B71E7"/>
    <w:rsid w:val="009B7421"/>
    <w:rsid w:val="009B753D"/>
    <w:rsid w:val="009B7DEE"/>
    <w:rsid w:val="009C01AC"/>
    <w:rsid w:val="009C1538"/>
    <w:rsid w:val="009C2547"/>
    <w:rsid w:val="009C2ECF"/>
    <w:rsid w:val="009C564B"/>
    <w:rsid w:val="009C6E64"/>
    <w:rsid w:val="009D010B"/>
    <w:rsid w:val="009D0DCA"/>
    <w:rsid w:val="009D128F"/>
    <w:rsid w:val="009D13BD"/>
    <w:rsid w:val="009D183A"/>
    <w:rsid w:val="009D2BFB"/>
    <w:rsid w:val="009D2C05"/>
    <w:rsid w:val="009D434A"/>
    <w:rsid w:val="009D5B4F"/>
    <w:rsid w:val="009D755C"/>
    <w:rsid w:val="009E0080"/>
    <w:rsid w:val="009E047C"/>
    <w:rsid w:val="009E0E6B"/>
    <w:rsid w:val="009E2402"/>
    <w:rsid w:val="009E28CD"/>
    <w:rsid w:val="009E2B08"/>
    <w:rsid w:val="009E2B41"/>
    <w:rsid w:val="009E3A5C"/>
    <w:rsid w:val="009E44A2"/>
    <w:rsid w:val="009E48A4"/>
    <w:rsid w:val="009E4DDD"/>
    <w:rsid w:val="009E5073"/>
    <w:rsid w:val="009E5132"/>
    <w:rsid w:val="009E5D08"/>
    <w:rsid w:val="009E6327"/>
    <w:rsid w:val="009E66F5"/>
    <w:rsid w:val="009E6A0D"/>
    <w:rsid w:val="009E7593"/>
    <w:rsid w:val="009E7835"/>
    <w:rsid w:val="009F05D7"/>
    <w:rsid w:val="009F0CFC"/>
    <w:rsid w:val="009F2690"/>
    <w:rsid w:val="009F3A1C"/>
    <w:rsid w:val="009F3C21"/>
    <w:rsid w:val="009F402B"/>
    <w:rsid w:val="009F4073"/>
    <w:rsid w:val="009F7697"/>
    <w:rsid w:val="00A00156"/>
    <w:rsid w:val="00A008CA"/>
    <w:rsid w:val="00A00D4F"/>
    <w:rsid w:val="00A0134F"/>
    <w:rsid w:val="00A034AD"/>
    <w:rsid w:val="00A046AB"/>
    <w:rsid w:val="00A05F6D"/>
    <w:rsid w:val="00A06CCB"/>
    <w:rsid w:val="00A07FA0"/>
    <w:rsid w:val="00A10AF2"/>
    <w:rsid w:val="00A11411"/>
    <w:rsid w:val="00A11B63"/>
    <w:rsid w:val="00A11F22"/>
    <w:rsid w:val="00A12AC8"/>
    <w:rsid w:val="00A137E3"/>
    <w:rsid w:val="00A13840"/>
    <w:rsid w:val="00A142A6"/>
    <w:rsid w:val="00A14504"/>
    <w:rsid w:val="00A146C1"/>
    <w:rsid w:val="00A14F5C"/>
    <w:rsid w:val="00A1510B"/>
    <w:rsid w:val="00A17268"/>
    <w:rsid w:val="00A174C8"/>
    <w:rsid w:val="00A20724"/>
    <w:rsid w:val="00A20EF7"/>
    <w:rsid w:val="00A22CCC"/>
    <w:rsid w:val="00A24019"/>
    <w:rsid w:val="00A24B7E"/>
    <w:rsid w:val="00A24C4D"/>
    <w:rsid w:val="00A2520F"/>
    <w:rsid w:val="00A2719E"/>
    <w:rsid w:val="00A271BA"/>
    <w:rsid w:val="00A27282"/>
    <w:rsid w:val="00A2775C"/>
    <w:rsid w:val="00A27DEE"/>
    <w:rsid w:val="00A30005"/>
    <w:rsid w:val="00A32A98"/>
    <w:rsid w:val="00A32B8D"/>
    <w:rsid w:val="00A32E20"/>
    <w:rsid w:val="00A331DE"/>
    <w:rsid w:val="00A33800"/>
    <w:rsid w:val="00A34433"/>
    <w:rsid w:val="00A34FDF"/>
    <w:rsid w:val="00A357FD"/>
    <w:rsid w:val="00A35E4D"/>
    <w:rsid w:val="00A35FB6"/>
    <w:rsid w:val="00A37215"/>
    <w:rsid w:val="00A3778B"/>
    <w:rsid w:val="00A37D02"/>
    <w:rsid w:val="00A41C98"/>
    <w:rsid w:val="00A42AD2"/>
    <w:rsid w:val="00A42C68"/>
    <w:rsid w:val="00A42F09"/>
    <w:rsid w:val="00A45ADD"/>
    <w:rsid w:val="00A46163"/>
    <w:rsid w:val="00A503DD"/>
    <w:rsid w:val="00A51F64"/>
    <w:rsid w:val="00A52A78"/>
    <w:rsid w:val="00A54923"/>
    <w:rsid w:val="00A550E1"/>
    <w:rsid w:val="00A5573A"/>
    <w:rsid w:val="00A5587A"/>
    <w:rsid w:val="00A55E02"/>
    <w:rsid w:val="00A5648A"/>
    <w:rsid w:val="00A572A0"/>
    <w:rsid w:val="00A5795B"/>
    <w:rsid w:val="00A602EF"/>
    <w:rsid w:val="00A606BF"/>
    <w:rsid w:val="00A60FA9"/>
    <w:rsid w:val="00A628A2"/>
    <w:rsid w:val="00A6564C"/>
    <w:rsid w:val="00A656C4"/>
    <w:rsid w:val="00A65B1C"/>
    <w:rsid w:val="00A65B70"/>
    <w:rsid w:val="00A678C7"/>
    <w:rsid w:val="00A67A80"/>
    <w:rsid w:val="00A75C14"/>
    <w:rsid w:val="00A75F23"/>
    <w:rsid w:val="00A7611B"/>
    <w:rsid w:val="00A763F1"/>
    <w:rsid w:val="00A764B5"/>
    <w:rsid w:val="00A76C97"/>
    <w:rsid w:val="00A80008"/>
    <w:rsid w:val="00A80CB1"/>
    <w:rsid w:val="00A820AA"/>
    <w:rsid w:val="00A8274C"/>
    <w:rsid w:val="00A84DCE"/>
    <w:rsid w:val="00A85060"/>
    <w:rsid w:val="00A85564"/>
    <w:rsid w:val="00A855D1"/>
    <w:rsid w:val="00A86A7B"/>
    <w:rsid w:val="00A87329"/>
    <w:rsid w:val="00A874EA"/>
    <w:rsid w:val="00A8767C"/>
    <w:rsid w:val="00A9082C"/>
    <w:rsid w:val="00A9187B"/>
    <w:rsid w:val="00A93B5E"/>
    <w:rsid w:val="00A943EC"/>
    <w:rsid w:val="00A94626"/>
    <w:rsid w:val="00A94E6A"/>
    <w:rsid w:val="00A94F81"/>
    <w:rsid w:val="00A959D9"/>
    <w:rsid w:val="00A95AAE"/>
    <w:rsid w:val="00A9649A"/>
    <w:rsid w:val="00A968C4"/>
    <w:rsid w:val="00A96E29"/>
    <w:rsid w:val="00A96EC9"/>
    <w:rsid w:val="00A976C6"/>
    <w:rsid w:val="00A976D0"/>
    <w:rsid w:val="00AA0ADD"/>
    <w:rsid w:val="00AA1BFA"/>
    <w:rsid w:val="00AA1F4A"/>
    <w:rsid w:val="00AA30FA"/>
    <w:rsid w:val="00AA3439"/>
    <w:rsid w:val="00AA50BF"/>
    <w:rsid w:val="00AB08DD"/>
    <w:rsid w:val="00AB08EF"/>
    <w:rsid w:val="00AB28AD"/>
    <w:rsid w:val="00AB350B"/>
    <w:rsid w:val="00AB4739"/>
    <w:rsid w:val="00AB4D02"/>
    <w:rsid w:val="00AB4DEB"/>
    <w:rsid w:val="00AB5890"/>
    <w:rsid w:val="00AB595A"/>
    <w:rsid w:val="00AB5B86"/>
    <w:rsid w:val="00AB6219"/>
    <w:rsid w:val="00AB630F"/>
    <w:rsid w:val="00AB6FC6"/>
    <w:rsid w:val="00AB7040"/>
    <w:rsid w:val="00AB7369"/>
    <w:rsid w:val="00AB7654"/>
    <w:rsid w:val="00AC037F"/>
    <w:rsid w:val="00AC122E"/>
    <w:rsid w:val="00AC1478"/>
    <w:rsid w:val="00AC1697"/>
    <w:rsid w:val="00AC17D3"/>
    <w:rsid w:val="00AC213F"/>
    <w:rsid w:val="00AC275F"/>
    <w:rsid w:val="00AC2F0B"/>
    <w:rsid w:val="00AC3330"/>
    <w:rsid w:val="00AC348A"/>
    <w:rsid w:val="00AC4EAD"/>
    <w:rsid w:val="00AC6B34"/>
    <w:rsid w:val="00AC6E0E"/>
    <w:rsid w:val="00AC71F6"/>
    <w:rsid w:val="00AC7A89"/>
    <w:rsid w:val="00AD05FE"/>
    <w:rsid w:val="00AD29C9"/>
    <w:rsid w:val="00AD2A8C"/>
    <w:rsid w:val="00AD2BD9"/>
    <w:rsid w:val="00AD36AA"/>
    <w:rsid w:val="00AD396B"/>
    <w:rsid w:val="00AD53B5"/>
    <w:rsid w:val="00AD5F11"/>
    <w:rsid w:val="00AD67DD"/>
    <w:rsid w:val="00AD67EC"/>
    <w:rsid w:val="00AD694A"/>
    <w:rsid w:val="00AD6A69"/>
    <w:rsid w:val="00AE0247"/>
    <w:rsid w:val="00AE0D26"/>
    <w:rsid w:val="00AE0EDD"/>
    <w:rsid w:val="00AE126D"/>
    <w:rsid w:val="00AE1DB7"/>
    <w:rsid w:val="00AE33CA"/>
    <w:rsid w:val="00AE5A77"/>
    <w:rsid w:val="00AE5E41"/>
    <w:rsid w:val="00AE6762"/>
    <w:rsid w:val="00AE6DD4"/>
    <w:rsid w:val="00AE7AAD"/>
    <w:rsid w:val="00AF1895"/>
    <w:rsid w:val="00AF207C"/>
    <w:rsid w:val="00AF26DD"/>
    <w:rsid w:val="00AF38A3"/>
    <w:rsid w:val="00AF418E"/>
    <w:rsid w:val="00AF518C"/>
    <w:rsid w:val="00AF6898"/>
    <w:rsid w:val="00AF6A13"/>
    <w:rsid w:val="00AF73C2"/>
    <w:rsid w:val="00AF7839"/>
    <w:rsid w:val="00B00861"/>
    <w:rsid w:val="00B012D5"/>
    <w:rsid w:val="00B01BA1"/>
    <w:rsid w:val="00B044E2"/>
    <w:rsid w:val="00B075FF"/>
    <w:rsid w:val="00B07871"/>
    <w:rsid w:val="00B10D99"/>
    <w:rsid w:val="00B11B11"/>
    <w:rsid w:val="00B121B6"/>
    <w:rsid w:val="00B152B4"/>
    <w:rsid w:val="00B15579"/>
    <w:rsid w:val="00B20745"/>
    <w:rsid w:val="00B22558"/>
    <w:rsid w:val="00B227BD"/>
    <w:rsid w:val="00B24E63"/>
    <w:rsid w:val="00B253FA"/>
    <w:rsid w:val="00B25F44"/>
    <w:rsid w:val="00B26B7B"/>
    <w:rsid w:val="00B27DF7"/>
    <w:rsid w:val="00B27F75"/>
    <w:rsid w:val="00B30F8D"/>
    <w:rsid w:val="00B32350"/>
    <w:rsid w:val="00B333AD"/>
    <w:rsid w:val="00B33999"/>
    <w:rsid w:val="00B34D36"/>
    <w:rsid w:val="00B35290"/>
    <w:rsid w:val="00B36369"/>
    <w:rsid w:val="00B36B26"/>
    <w:rsid w:val="00B374C7"/>
    <w:rsid w:val="00B37592"/>
    <w:rsid w:val="00B37AC4"/>
    <w:rsid w:val="00B41593"/>
    <w:rsid w:val="00B418C8"/>
    <w:rsid w:val="00B43A45"/>
    <w:rsid w:val="00B44A5A"/>
    <w:rsid w:val="00B44C89"/>
    <w:rsid w:val="00B46A30"/>
    <w:rsid w:val="00B479C8"/>
    <w:rsid w:val="00B47CC1"/>
    <w:rsid w:val="00B514E2"/>
    <w:rsid w:val="00B52758"/>
    <w:rsid w:val="00B52F4D"/>
    <w:rsid w:val="00B53AEE"/>
    <w:rsid w:val="00B546C2"/>
    <w:rsid w:val="00B546D9"/>
    <w:rsid w:val="00B557AE"/>
    <w:rsid w:val="00B559CB"/>
    <w:rsid w:val="00B56368"/>
    <w:rsid w:val="00B56560"/>
    <w:rsid w:val="00B578C5"/>
    <w:rsid w:val="00B57CD9"/>
    <w:rsid w:val="00B60543"/>
    <w:rsid w:val="00B60805"/>
    <w:rsid w:val="00B60AC8"/>
    <w:rsid w:val="00B623CF"/>
    <w:rsid w:val="00B62473"/>
    <w:rsid w:val="00B629F4"/>
    <w:rsid w:val="00B6489D"/>
    <w:rsid w:val="00B65A62"/>
    <w:rsid w:val="00B67A9D"/>
    <w:rsid w:val="00B715D5"/>
    <w:rsid w:val="00B7171C"/>
    <w:rsid w:val="00B717A2"/>
    <w:rsid w:val="00B71914"/>
    <w:rsid w:val="00B720F0"/>
    <w:rsid w:val="00B72427"/>
    <w:rsid w:val="00B7265C"/>
    <w:rsid w:val="00B727C3"/>
    <w:rsid w:val="00B72DAA"/>
    <w:rsid w:val="00B73025"/>
    <w:rsid w:val="00B7306D"/>
    <w:rsid w:val="00B734D4"/>
    <w:rsid w:val="00B73735"/>
    <w:rsid w:val="00B73A5D"/>
    <w:rsid w:val="00B73D50"/>
    <w:rsid w:val="00B74AE8"/>
    <w:rsid w:val="00B774FE"/>
    <w:rsid w:val="00B776F5"/>
    <w:rsid w:val="00B80384"/>
    <w:rsid w:val="00B823C5"/>
    <w:rsid w:val="00B8336A"/>
    <w:rsid w:val="00B833CF"/>
    <w:rsid w:val="00B836A4"/>
    <w:rsid w:val="00B837A3"/>
    <w:rsid w:val="00B843A8"/>
    <w:rsid w:val="00B8457C"/>
    <w:rsid w:val="00B857E4"/>
    <w:rsid w:val="00B86D36"/>
    <w:rsid w:val="00B8744F"/>
    <w:rsid w:val="00B87A9D"/>
    <w:rsid w:val="00B916D1"/>
    <w:rsid w:val="00B91D3C"/>
    <w:rsid w:val="00B91DF9"/>
    <w:rsid w:val="00B9384F"/>
    <w:rsid w:val="00B950AD"/>
    <w:rsid w:val="00B960B4"/>
    <w:rsid w:val="00B96939"/>
    <w:rsid w:val="00B974D7"/>
    <w:rsid w:val="00B974FF"/>
    <w:rsid w:val="00BA069D"/>
    <w:rsid w:val="00BA09CB"/>
    <w:rsid w:val="00BA1AC5"/>
    <w:rsid w:val="00BA1D33"/>
    <w:rsid w:val="00BA2B1D"/>
    <w:rsid w:val="00BA343D"/>
    <w:rsid w:val="00BA3FD8"/>
    <w:rsid w:val="00BA44F1"/>
    <w:rsid w:val="00BA57BC"/>
    <w:rsid w:val="00BA6A41"/>
    <w:rsid w:val="00BA6E9B"/>
    <w:rsid w:val="00BA7DB0"/>
    <w:rsid w:val="00BB0E8F"/>
    <w:rsid w:val="00BB101D"/>
    <w:rsid w:val="00BB1509"/>
    <w:rsid w:val="00BB20F7"/>
    <w:rsid w:val="00BB57A3"/>
    <w:rsid w:val="00BB74F8"/>
    <w:rsid w:val="00BB7C94"/>
    <w:rsid w:val="00BC0BC2"/>
    <w:rsid w:val="00BC2760"/>
    <w:rsid w:val="00BC3FF3"/>
    <w:rsid w:val="00BC5F68"/>
    <w:rsid w:val="00BC6EA2"/>
    <w:rsid w:val="00BC7817"/>
    <w:rsid w:val="00BC7D56"/>
    <w:rsid w:val="00BD09CD"/>
    <w:rsid w:val="00BD0C70"/>
    <w:rsid w:val="00BD139A"/>
    <w:rsid w:val="00BD2326"/>
    <w:rsid w:val="00BD2D06"/>
    <w:rsid w:val="00BD59AB"/>
    <w:rsid w:val="00BD5D19"/>
    <w:rsid w:val="00BD6848"/>
    <w:rsid w:val="00BD7320"/>
    <w:rsid w:val="00BD7ED1"/>
    <w:rsid w:val="00BE0C20"/>
    <w:rsid w:val="00BE0D94"/>
    <w:rsid w:val="00BE18D5"/>
    <w:rsid w:val="00BE2A17"/>
    <w:rsid w:val="00BE4222"/>
    <w:rsid w:val="00BE4729"/>
    <w:rsid w:val="00BE493D"/>
    <w:rsid w:val="00BE5F07"/>
    <w:rsid w:val="00BE5FE4"/>
    <w:rsid w:val="00BE65BD"/>
    <w:rsid w:val="00BE6BF0"/>
    <w:rsid w:val="00BE718E"/>
    <w:rsid w:val="00BF00BA"/>
    <w:rsid w:val="00BF07A2"/>
    <w:rsid w:val="00BF3196"/>
    <w:rsid w:val="00C00A74"/>
    <w:rsid w:val="00C01789"/>
    <w:rsid w:val="00C01FEA"/>
    <w:rsid w:val="00C02B3F"/>
    <w:rsid w:val="00C02B83"/>
    <w:rsid w:val="00C0373D"/>
    <w:rsid w:val="00C0390D"/>
    <w:rsid w:val="00C03924"/>
    <w:rsid w:val="00C05372"/>
    <w:rsid w:val="00C05E49"/>
    <w:rsid w:val="00C063C6"/>
    <w:rsid w:val="00C0666B"/>
    <w:rsid w:val="00C071D7"/>
    <w:rsid w:val="00C07AFD"/>
    <w:rsid w:val="00C07E77"/>
    <w:rsid w:val="00C07FFD"/>
    <w:rsid w:val="00C105B9"/>
    <w:rsid w:val="00C10F14"/>
    <w:rsid w:val="00C11CC3"/>
    <w:rsid w:val="00C14F16"/>
    <w:rsid w:val="00C15C3C"/>
    <w:rsid w:val="00C15EEC"/>
    <w:rsid w:val="00C16B42"/>
    <w:rsid w:val="00C16B79"/>
    <w:rsid w:val="00C16D01"/>
    <w:rsid w:val="00C1795A"/>
    <w:rsid w:val="00C21660"/>
    <w:rsid w:val="00C23D3B"/>
    <w:rsid w:val="00C2470C"/>
    <w:rsid w:val="00C24A11"/>
    <w:rsid w:val="00C2682F"/>
    <w:rsid w:val="00C27D60"/>
    <w:rsid w:val="00C31954"/>
    <w:rsid w:val="00C32B8E"/>
    <w:rsid w:val="00C33441"/>
    <w:rsid w:val="00C34EF5"/>
    <w:rsid w:val="00C368DB"/>
    <w:rsid w:val="00C37367"/>
    <w:rsid w:val="00C377CB"/>
    <w:rsid w:val="00C401D0"/>
    <w:rsid w:val="00C4081D"/>
    <w:rsid w:val="00C40F42"/>
    <w:rsid w:val="00C412B2"/>
    <w:rsid w:val="00C43C8D"/>
    <w:rsid w:val="00C45F7A"/>
    <w:rsid w:val="00C46388"/>
    <w:rsid w:val="00C4676E"/>
    <w:rsid w:val="00C4689A"/>
    <w:rsid w:val="00C47CF6"/>
    <w:rsid w:val="00C47F4F"/>
    <w:rsid w:val="00C514A0"/>
    <w:rsid w:val="00C537D4"/>
    <w:rsid w:val="00C568C5"/>
    <w:rsid w:val="00C6132B"/>
    <w:rsid w:val="00C615A0"/>
    <w:rsid w:val="00C618B8"/>
    <w:rsid w:val="00C61CDC"/>
    <w:rsid w:val="00C63BC6"/>
    <w:rsid w:val="00C646F2"/>
    <w:rsid w:val="00C648B4"/>
    <w:rsid w:val="00C65F39"/>
    <w:rsid w:val="00C67608"/>
    <w:rsid w:val="00C67835"/>
    <w:rsid w:val="00C67A89"/>
    <w:rsid w:val="00C704B3"/>
    <w:rsid w:val="00C70DDA"/>
    <w:rsid w:val="00C71264"/>
    <w:rsid w:val="00C717F7"/>
    <w:rsid w:val="00C724CA"/>
    <w:rsid w:val="00C729CA"/>
    <w:rsid w:val="00C732D8"/>
    <w:rsid w:val="00C736D4"/>
    <w:rsid w:val="00C75515"/>
    <w:rsid w:val="00C75819"/>
    <w:rsid w:val="00C75BC1"/>
    <w:rsid w:val="00C76F72"/>
    <w:rsid w:val="00C775AA"/>
    <w:rsid w:val="00C809C2"/>
    <w:rsid w:val="00C82B46"/>
    <w:rsid w:val="00C83027"/>
    <w:rsid w:val="00C837CA"/>
    <w:rsid w:val="00C8386F"/>
    <w:rsid w:val="00C8497A"/>
    <w:rsid w:val="00C84A04"/>
    <w:rsid w:val="00C84CD0"/>
    <w:rsid w:val="00C84D4B"/>
    <w:rsid w:val="00C86FD7"/>
    <w:rsid w:val="00C900A7"/>
    <w:rsid w:val="00C90212"/>
    <w:rsid w:val="00C913F5"/>
    <w:rsid w:val="00C9146B"/>
    <w:rsid w:val="00C92518"/>
    <w:rsid w:val="00C9279A"/>
    <w:rsid w:val="00C931B2"/>
    <w:rsid w:val="00C939B5"/>
    <w:rsid w:val="00C939EB"/>
    <w:rsid w:val="00C94C47"/>
    <w:rsid w:val="00C94E48"/>
    <w:rsid w:val="00C9572A"/>
    <w:rsid w:val="00C96576"/>
    <w:rsid w:val="00CA020D"/>
    <w:rsid w:val="00CA1AD0"/>
    <w:rsid w:val="00CA203A"/>
    <w:rsid w:val="00CA3293"/>
    <w:rsid w:val="00CA3BE0"/>
    <w:rsid w:val="00CA4431"/>
    <w:rsid w:val="00CB0214"/>
    <w:rsid w:val="00CB04DC"/>
    <w:rsid w:val="00CB1048"/>
    <w:rsid w:val="00CB1990"/>
    <w:rsid w:val="00CB1998"/>
    <w:rsid w:val="00CB2008"/>
    <w:rsid w:val="00CB30ED"/>
    <w:rsid w:val="00CB3130"/>
    <w:rsid w:val="00CB43B2"/>
    <w:rsid w:val="00CB7E86"/>
    <w:rsid w:val="00CB7F83"/>
    <w:rsid w:val="00CC05ED"/>
    <w:rsid w:val="00CC2C67"/>
    <w:rsid w:val="00CC409D"/>
    <w:rsid w:val="00CC4BFF"/>
    <w:rsid w:val="00CC71F6"/>
    <w:rsid w:val="00CC7986"/>
    <w:rsid w:val="00CC7DD5"/>
    <w:rsid w:val="00CD25DF"/>
    <w:rsid w:val="00CD3FE5"/>
    <w:rsid w:val="00CD4144"/>
    <w:rsid w:val="00CD6C47"/>
    <w:rsid w:val="00CE098D"/>
    <w:rsid w:val="00CE0BEB"/>
    <w:rsid w:val="00CE12D3"/>
    <w:rsid w:val="00CE1E7A"/>
    <w:rsid w:val="00CE2483"/>
    <w:rsid w:val="00CE2BD1"/>
    <w:rsid w:val="00CE36BF"/>
    <w:rsid w:val="00CE3A13"/>
    <w:rsid w:val="00CE4B15"/>
    <w:rsid w:val="00CE6612"/>
    <w:rsid w:val="00CE68CB"/>
    <w:rsid w:val="00CE793E"/>
    <w:rsid w:val="00CF033A"/>
    <w:rsid w:val="00CF13B3"/>
    <w:rsid w:val="00CF27C4"/>
    <w:rsid w:val="00CF3C3C"/>
    <w:rsid w:val="00CF678F"/>
    <w:rsid w:val="00D00889"/>
    <w:rsid w:val="00D00DA6"/>
    <w:rsid w:val="00D01384"/>
    <w:rsid w:val="00D01678"/>
    <w:rsid w:val="00D0201B"/>
    <w:rsid w:val="00D0210A"/>
    <w:rsid w:val="00D02549"/>
    <w:rsid w:val="00D05564"/>
    <w:rsid w:val="00D05B6E"/>
    <w:rsid w:val="00D05C8D"/>
    <w:rsid w:val="00D06309"/>
    <w:rsid w:val="00D066C4"/>
    <w:rsid w:val="00D101F1"/>
    <w:rsid w:val="00D108BF"/>
    <w:rsid w:val="00D11514"/>
    <w:rsid w:val="00D1161C"/>
    <w:rsid w:val="00D1181D"/>
    <w:rsid w:val="00D12414"/>
    <w:rsid w:val="00D12C76"/>
    <w:rsid w:val="00D136A7"/>
    <w:rsid w:val="00D15DBF"/>
    <w:rsid w:val="00D16F7E"/>
    <w:rsid w:val="00D1762C"/>
    <w:rsid w:val="00D2050B"/>
    <w:rsid w:val="00D20821"/>
    <w:rsid w:val="00D20AE1"/>
    <w:rsid w:val="00D2106B"/>
    <w:rsid w:val="00D216CA"/>
    <w:rsid w:val="00D22A3A"/>
    <w:rsid w:val="00D23064"/>
    <w:rsid w:val="00D23F9D"/>
    <w:rsid w:val="00D240BA"/>
    <w:rsid w:val="00D260FB"/>
    <w:rsid w:val="00D306F1"/>
    <w:rsid w:val="00D307E1"/>
    <w:rsid w:val="00D312C6"/>
    <w:rsid w:val="00D3155E"/>
    <w:rsid w:val="00D32239"/>
    <w:rsid w:val="00D32840"/>
    <w:rsid w:val="00D32F31"/>
    <w:rsid w:val="00D331C8"/>
    <w:rsid w:val="00D339A1"/>
    <w:rsid w:val="00D34AEF"/>
    <w:rsid w:val="00D35C28"/>
    <w:rsid w:val="00D35EA1"/>
    <w:rsid w:val="00D36508"/>
    <w:rsid w:val="00D37031"/>
    <w:rsid w:val="00D403BB"/>
    <w:rsid w:val="00D40D96"/>
    <w:rsid w:val="00D41871"/>
    <w:rsid w:val="00D41E13"/>
    <w:rsid w:val="00D42915"/>
    <w:rsid w:val="00D440B4"/>
    <w:rsid w:val="00D44EF9"/>
    <w:rsid w:val="00D45651"/>
    <w:rsid w:val="00D50254"/>
    <w:rsid w:val="00D506CD"/>
    <w:rsid w:val="00D5172D"/>
    <w:rsid w:val="00D528A6"/>
    <w:rsid w:val="00D539CF"/>
    <w:rsid w:val="00D53FEE"/>
    <w:rsid w:val="00D54C6F"/>
    <w:rsid w:val="00D54DCB"/>
    <w:rsid w:val="00D5586E"/>
    <w:rsid w:val="00D55F89"/>
    <w:rsid w:val="00D56932"/>
    <w:rsid w:val="00D602F3"/>
    <w:rsid w:val="00D6083F"/>
    <w:rsid w:val="00D613FF"/>
    <w:rsid w:val="00D61FA2"/>
    <w:rsid w:val="00D64000"/>
    <w:rsid w:val="00D6548B"/>
    <w:rsid w:val="00D657C9"/>
    <w:rsid w:val="00D712B2"/>
    <w:rsid w:val="00D7188A"/>
    <w:rsid w:val="00D722D4"/>
    <w:rsid w:val="00D72ADB"/>
    <w:rsid w:val="00D72D7B"/>
    <w:rsid w:val="00D73E55"/>
    <w:rsid w:val="00D74819"/>
    <w:rsid w:val="00D75C38"/>
    <w:rsid w:val="00D76FBE"/>
    <w:rsid w:val="00D77769"/>
    <w:rsid w:val="00D81BF6"/>
    <w:rsid w:val="00D8266B"/>
    <w:rsid w:val="00D82DBB"/>
    <w:rsid w:val="00D8312B"/>
    <w:rsid w:val="00D83355"/>
    <w:rsid w:val="00D8356C"/>
    <w:rsid w:val="00D84A0F"/>
    <w:rsid w:val="00D84D0A"/>
    <w:rsid w:val="00D85195"/>
    <w:rsid w:val="00D852E7"/>
    <w:rsid w:val="00D876E8"/>
    <w:rsid w:val="00D87A14"/>
    <w:rsid w:val="00D87DCF"/>
    <w:rsid w:val="00D905F2"/>
    <w:rsid w:val="00D91689"/>
    <w:rsid w:val="00D92AF4"/>
    <w:rsid w:val="00D93741"/>
    <w:rsid w:val="00D93F44"/>
    <w:rsid w:val="00D9417E"/>
    <w:rsid w:val="00D958B0"/>
    <w:rsid w:val="00D96754"/>
    <w:rsid w:val="00D9698E"/>
    <w:rsid w:val="00DA020C"/>
    <w:rsid w:val="00DA0CC3"/>
    <w:rsid w:val="00DA1518"/>
    <w:rsid w:val="00DA1CD1"/>
    <w:rsid w:val="00DA2389"/>
    <w:rsid w:val="00DA34BC"/>
    <w:rsid w:val="00DA4BE5"/>
    <w:rsid w:val="00DA5B48"/>
    <w:rsid w:val="00DA5E1D"/>
    <w:rsid w:val="00DA6080"/>
    <w:rsid w:val="00DA6A00"/>
    <w:rsid w:val="00DA6CFC"/>
    <w:rsid w:val="00DA7004"/>
    <w:rsid w:val="00DA7AD2"/>
    <w:rsid w:val="00DA7B7F"/>
    <w:rsid w:val="00DA7C8C"/>
    <w:rsid w:val="00DB0A93"/>
    <w:rsid w:val="00DB118E"/>
    <w:rsid w:val="00DB1751"/>
    <w:rsid w:val="00DB1EED"/>
    <w:rsid w:val="00DB24BB"/>
    <w:rsid w:val="00DB3E14"/>
    <w:rsid w:val="00DB4383"/>
    <w:rsid w:val="00DB4463"/>
    <w:rsid w:val="00DB68A2"/>
    <w:rsid w:val="00DB68D7"/>
    <w:rsid w:val="00DB6F24"/>
    <w:rsid w:val="00DC09DC"/>
    <w:rsid w:val="00DC3307"/>
    <w:rsid w:val="00DC5092"/>
    <w:rsid w:val="00DC5C52"/>
    <w:rsid w:val="00DC5F52"/>
    <w:rsid w:val="00DC6481"/>
    <w:rsid w:val="00DC6A6D"/>
    <w:rsid w:val="00DC7550"/>
    <w:rsid w:val="00DD1522"/>
    <w:rsid w:val="00DD15EA"/>
    <w:rsid w:val="00DD1A45"/>
    <w:rsid w:val="00DD1F03"/>
    <w:rsid w:val="00DD345B"/>
    <w:rsid w:val="00DD4640"/>
    <w:rsid w:val="00DD4B33"/>
    <w:rsid w:val="00DD5B3A"/>
    <w:rsid w:val="00DD5F78"/>
    <w:rsid w:val="00DD6913"/>
    <w:rsid w:val="00DD6CF7"/>
    <w:rsid w:val="00DE143F"/>
    <w:rsid w:val="00DE16B1"/>
    <w:rsid w:val="00DE1E90"/>
    <w:rsid w:val="00DE1F24"/>
    <w:rsid w:val="00DE2368"/>
    <w:rsid w:val="00DE3E06"/>
    <w:rsid w:val="00DE505E"/>
    <w:rsid w:val="00DE50B5"/>
    <w:rsid w:val="00DE50D0"/>
    <w:rsid w:val="00DE54C6"/>
    <w:rsid w:val="00DE5545"/>
    <w:rsid w:val="00DE576C"/>
    <w:rsid w:val="00DE5E56"/>
    <w:rsid w:val="00DE6279"/>
    <w:rsid w:val="00DE6FF2"/>
    <w:rsid w:val="00DF13E4"/>
    <w:rsid w:val="00DF1427"/>
    <w:rsid w:val="00DF2147"/>
    <w:rsid w:val="00DF2741"/>
    <w:rsid w:val="00DF3A92"/>
    <w:rsid w:val="00DF4445"/>
    <w:rsid w:val="00DF4E0B"/>
    <w:rsid w:val="00DF62E5"/>
    <w:rsid w:val="00DF713E"/>
    <w:rsid w:val="00DF725D"/>
    <w:rsid w:val="00E00104"/>
    <w:rsid w:val="00E00F08"/>
    <w:rsid w:val="00E03B83"/>
    <w:rsid w:val="00E050C1"/>
    <w:rsid w:val="00E063B3"/>
    <w:rsid w:val="00E0647B"/>
    <w:rsid w:val="00E067FD"/>
    <w:rsid w:val="00E075F6"/>
    <w:rsid w:val="00E104B6"/>
    <w:rsid w:val="00E10E5F"/>
    <w:rsid w:val="00E11E85"/>
    <w:rsid w:val="00E132CC"/>
    <w:rsid w:val="00E13F9F"/>
    <w:rsid w:val="00E14056"/>
    <w:rsid w:val="00E162FC"/>
    <w:rsid w:val="00E16746"/>
    <w:rsid w:val="00E170CB"/>
    <w:rsid w:val="00E17AAC"/>
    <w:rsid w:val="00E20A47"/>
    <w:rsid w:val="00E21A0A"/>
    <w:rsid w:val="00E21BD7"/>
    <w:rsid w:val="00E22795"/>
    <w:rsid w:val="00E23F08"/>
    <w:rsid w:val="00E24E60"/>
    <w:rsid w:val="00E250A2"/>
    <w:rsid w:val="00E25128"/>
    <w:rsid w:val="00E251B1"/>
    <w:rsid w:val="00E257D4"/>
    <w:rsid w:val="00E25FD1"/>
    <w:rsid w:val="00E25FDA"/>
    <w:rsid w:val="00E268FD"/>
    <w:rsid w:val="00E300C9"/>
    <w:rsid w:val="00E30685"/>
    <w:rsid w:val="00E30B57"/>
    <w:rsid w:val="00E30E8B"/>
    <w:rsid w:val="00E3103A"/>
    <w:rsid w:val="00E31BD8"/>
    <w:rsid w:val="00E32BF1"/>
    <w:rsid w:val="00E34849"/>
    <w:rsid w:val="00E349AD"/>
    <w:rsid w:val="00E3616B"/>
    <w:rsid w:val="00E36CF4"/>
    <w:rsid w:val="00E375B3"/>
    <w:rsid w:val="00E376CD"/>
    <w:rsid w:val="00E40075"/>
    <w:rsid w:val="00E40668"/>
    <w:rsid w:val="00E42D58"/>
    <w:rsid w:val="00E4311A"/>
    <w:rsid w:val="00E43324"/>
    <w:rsid w:val="00E454D9"/>
    <w:rsid w:val="00E461C3"/>
    <w:rsid w:val="00E4774B"/>
    <w:rsid w:val="00E47953"/>
    <w:rsid w:val="00E47FE4"/>
    <w:rsid w:val="00E50887"/>
    <w:rsid w:val="00E52DC4"/>
    <w:rsid w:val="00E532ED"/>
    <w:rsid w:val="00E55D32"/>
    <w:rsid w:val="00E55FFE"/>
    <w:rsid w:val="00E56E5A"/>
    <w:rsid w:val="00E575C4"/>
    <w:rsid w:val="00E57C25"/>
    <w:rsid w:val="00E57D9C"/>
    <w:rsid w:val="00E61605"/>
    <w:rsid w:val="00E61ABF"/>
    <w:rsid w:val="00E63BAF"/>
    <w:rsid w:val="00E6412D"/>
    <w:rsid w:val="00E65389"/>
    <w:rsid w:val="00E65B98"/>
    <w:rsid w:val="00E67CD2"/>
    <w:rsid w:val="00E71BBE"/>
    <w:rsid w:val="00E72178"/>
    <w:rsid w:val="00E732F8"/>
    <w:rsid w:val="00E73C28"/>
    <w:rsid w:val="00E74B00"/>
    <w:rsid w:val="00E752CC"/>
    <w:rsid w:val="00E76D88"/>
    <w:rsid w:val="00E77B94"/>
    <w:rsid w:val="00E80205"/>
    <w:rsid w:val="00E819A2"/>
    <w:rsid w:val="00E8231D"/>
    <w:rsid w:val="00E83261"/>
    <w:rsid w:val="00E832F0"/>
    <w:rsid w:val="00E833BA"/>
    <w:rsid w:val="00E8357B"/>
    <w:rsid w:val="00E83835"/>
    <w:rsid w:val="00E858FD"/>
    <w:rsid w:val="00E85CD5"/>
    <w:rsid w:val="00E86305"/>
    <w:rsid w:val="00E8784A"/>
    <w:rsid w:val="00E878DB"/>
    <w:rsid w:val="00E87E60"/>
    <w:rsid w:val="00E87FF3"/>
    <w:rsid w:val="00E90A0F"/>
    <w:rsid w:val="00E90DBE"/>
    <w:rsid w:val="00E91282"/>
    <w:rsid w:val="00E91594"/>
    <w:rsid w:val="00E91A6C"/>
    <w:rsid w:val="00E91D4A"/>
    <w:rsid w:val="00E9387F"/>
    <w:rsid w:val="00E93E01"/>
    <w:rsid w:val="00E94876"/>
    <w:rsid w:val="00E963FD"/>
    <w:rsid w:val="00E966B2"/>
    <w:rsid w:val="00E96AEF"/>
    <w:rsid w:val="00EA2DBE"/>
    <w:rsid w:val="00EA441E"/>
    <w:rsid w:val="00EA4A2A"/>
    <w:rsid w:val="00EA593C"/>
    <w:rsid w:val="00EA59F8"/>
    <w:rsid w:val="00EA6FC3"/>
    <w:rsid w:val="00EB0BF8"/>
    <w:rsid w:val="00EB1DFB"/>
    <w:rsid w:val="00EB221B"/>
    <w:rsid w:val="00EB2D55"/>
    <w:rsid w:val="00EB310C"/>
    <w:rsid w:val="00EB31FF"/>
    <w:rsid w:val="00EB3648"/>
    <w:rsid w:val="00EB5AC9"/>
    <w:rsid w:val="00EB5B77"/>
    <w:rsid w:val="00EB5D2C"/>
    <w:rsid w:val="00EB63D1"/>
    <w:rsid w:val="00EB6909"/>
    <w:rsid w:val="00EB6E8F"/>
    <w:rsid w:val="00EB7046"/>
    <w:rsid w:val="00EB7B62"/>
    <w:rsid w:val="00EB7C1B"/>
    <w:rsid w:val="00EC04A4"/>
    <w:rsid w:val="00EC23B1"/>
    <w:rsid w:val="00EC2B95"/>
    <w:rsid w:val="00EC3411"/>
    <w:rsid w:val="00EC3594"/>
    <w:rsid w:val="00EC3F2E"/>
    <w:rsid w:val="00EC4E7A"/>
    <w:rsid w:val="00EC5232"/>
    <w:rsid w:val="00EC54D6"/>
    <w:rsid w:val="00EC7666"/>
    <w:rsid w:val="00EC77BC"/>
    <w:rsid w:val="00ED2515"/>
    <w:rsid w:val="00ED32A3"/>
    <w:rsid w:val="00ED38E7"/>
    <w:rsid w:val="00ED4150"/>
    <w:rsid w:val="00ED4585"/>
    <w:rsid w:val="00ED45C9"/>
    <w:rsid w:val="00ED52E7"/>
    <w:rsid w:val="00ED700B"/>
    <w:rsid w:val="00ED7DE0"/>
    <w:rsid w:val="00ED7F6B"/>
    <w:rsid w:val="00EE000C"/>
    <w:rsid w:val="00EE01CC"/>
    <w:rsid w:val="00EE1291"/>
    <w:rsid w:val="00EE1970"/>
    <w:rsid w:val="00EE1DC1"/>
    <w:rsid w:val="00EE2BB8"/>
    <w:rsid w:val="00EE2C86"/>
    <w:rsid w:val="00EE4112"/>
    <w:rsid w:val="00EE50B6"/>
    <w:rsid w:val="00EE57C1"/>
    <w:rsid w:val="00EE5D23"/>
    <w:rsid w:val="00EF0607"/>
    <w:rsid w:val="00EF12CC"/>
    <w:rsid w:val="00EF1933"/>
    <w:rsid w:val="00EF1A64"/>
    <w:rsid w:val="00EF24AD"/>
    <w:rsid w:val="00EF2590"/>
    <w:rsid w:val="00EF324F"/>
    <w:rsid w:val="00EF3DC7"/>
    <w:rsid w:val="00EF4C3E"/>
    <w:rsid w:val="00EF6F29"/>
    <w:rsid w:val="00F000F9"/>
    <w:rsid w:val="00F0055C"/>
    <w:rsid w:val="00F00975"/>
    <w:rsid w:val="00F01576"/>
    <w:rsid w:val="00F03BD8"/>
    <w:rsid w:val="00F03DBC"/>
    <w:rsid w:val="00F03F53"/>
    <w:rsid w:val="00F04302"/>
    <w:rsid w:val="00F057DF"/>
    <w:rsid w:val="00F05AD3"/>
    <w:rsid w:val="00F06F29"/>
    <w:rsid w:val="00F075B2"/>
    <w:rsid w:val="00F1003A"/>
    <w:rsid w:val="00F102E3"/>
    <w:rsid w:val="00F1031A"/>
    <w:rsid w:val="00F13AC0"/>
    <w:rsid w:val="00F1477E"/>
    <w:rsid w:val="00F151A8"/>
    <w:rsid w:val="00F15BD2"/>
    <w:rsid w:val="00F1658D"/>
    <w:rsid w:val="00F206E7"/>
    <w:rsid w:val="00F21049"/>
    <w:rsid w:val="00F210FD"/>
    <w:rsid w:val="00F21343"/>
    <w:rsid w:val="00F21AFE"/>
    <w:rsid w:val="00F22F5B"/>
    <w:rsid w:val="00F245E5"/>
    <w:rsid w:val="00F248E2"/>
    <w:rsid w:val="00F24C79"/>
    <w:rsid w:val="00F26560"/>
    <w:rsid w:val="00F26EDE"/>
    <w:rsid w:val="00F2775E"/>
    <w:rsid w:val="00F30034"/>
    <w:rsid w:val="00F30227"/>
    <w:rsid w:val="00F304F8"/>
    <w:rsid w:val="00F31051"/>
    <w:rsid w:val="00F321A1"/>
    <w:rsid w:val="00F3404D"/>
    <w:rsid w:val="00F35254"/>
    <w:rsid w:val="00F353AD"/>
    <w:rsid w:val="00F35B3C"/>
    <w:rsid w:val="00F3624D"/>
    <w:rsid w:val="00F36F20"/>
    <w:rsid w:val="00F37099"/>
    <w:rsid w:val="00F401BE"/>
    <w:rsid w:val="00F40FF8"/>
    <w:rsid w:val="00F41C66"/>
    <w:rsid w:val="00F41CFC"/>
    <w:rsid w:val="00F44A72"/>
    <w:rsid w:val="00F45398"/>
    <w:rsid w:val="00F46488"/>
    <w:rsid w:val="00F46F25"/>
    <w:rsid w:val="00F46F53"/>
    <w:rsid w:val="00F502F6"/>
    <w:rsid w:val="00F507F5"/>
    <w:rsid w:val="00F51A13"/>
    <w:rsid w:val="00F51A41"/>
    <w:rsid w:val="00F51E51"/>
    <w:rsid w:val="00F522FE"/>
    <w:rsid w:val="00F5495B"/>
    <w:rsid w:val="00F54F12"/>
    <w:rsid w:val="00F55DEC"/>
    <w:rsid w:val="00F57776"/>
    <w:rsid w:val="00F601B3"/>
    <w:rsid w:val="00F6056A"/>
    <w:rsid w:val="00F60A4E"/>
    <w:rsid w:val="00F60EA7"/>
    <w:rsid w:val="00F611DF"/>
    <w:rsid w:val="00F62016"/>
    <w:rsid w:val="00F6372C"/>
    <w:rsid w:val="00F64683"/>
    <w:rsid w:val="00F66BFD"/>
    <w:rsid w:val="00F67AE2"/>
    <w:rsid w:val="00F67FCC"/>
    <w:rsid w:val="00F70330"/>
    <w:rsid w:val="00F7099E"/>
    <w:rsid w:val="00F70BBE"/>
    <w:rsid w:val="00F70FBD"/>
    <w:rsid w:val="00F71D75"/>
    <w:rsid w:val="00F725F7"/>
    <w:rsid w:val="00F7276F"/>
    <w:rsid w:val="00F72EEA"/>
    <w:rsid w:val="00F73834"/>
    <w:rsid w:val="00F73EA5"/>
    <w:rsid w:val="00F76694"/>
    <w:rsid w:val="00F775DC"/>
    <w:rsid w:val="00F805C8"/>
    <w:rsid w:val="00F80833"/>
    <w:rsid w:val="00F80E41"/>
    <w:rsid w:val="00F82695"/>
    <w:rsid w:val="00F82CDD"/>
    <w:rsid w:val="00F82DDB"/>
    <w:rsid w:val="00F82E14"/>
    <w:rsid w:val="00F82F5E"/>
    <w:rsid w:val="00F82FB6"/>
    <w:rsid w:val="00F83FAA"/>
    <w:rsid w:val="00F85631"/>
    <w:rsid w:val="00F859C6"/>
    <w:rsid w:val="00F877C4"/>
    <w:rsid w:val="00F9001A"/>
    <w:rsid w:val="00F9043A"/>
    <w:rsid w:val="00F90EB1"/>
    <w:rsid w:val="00F94677"/>
    <w:rsid w:val="00F96170"/>
    <w:rsid w:val="00FA0568"/>
    <w:rsid w:val="00FA05B6"/>
    <w:rsid w:val="00FA1B53"/>
    <w:rsid w:val="00FA1D91"/>
    <w:rsid w:val="00FA2313"/>
    <w:rsid w:val="00FA2D0E"/>
    <w:rsid w:val="00FA4FFE"/>
    <w:rsid w:val="00FA525B"/>
    <w:rsid w:val="00FA537A"/>
    <w:rsid w:val="00FA5B99"/>
    <w:rsid w:val="00FB04F2"/>
    <w:rsid w:val="00FB0A04"/>
    <w:rsid w:val="00FB0BD7"/>
    <w:rsid w:val="00FB0C6D"/>
    <w:rsid w:val="00FB0D02"/>
    <w:rsid w:val="00FB0FC1"/>
    <w:rsid w:val="00FB147D"/>
    <w:rsid w:val="00FB2610"/>
    <w:rsid w:val="00FB2C53"/>
    <w:rsid w:val="00FB39A6"/>
    <w:rsid w:val="00FB3BB5"/>
    <w:rsid w:val="00FB4EF8"/>
    <w:rsid w:val="00FB58BF"/>
    <w:rsid w:val="00FB6002"/>
    <w:rsid w:val="00FB69DB"/>
    <w:rsid w:val="00FB7997"/>
    <w:rsid w:val="00FC1CCD"/>
    <w:rsid w:val="00FC1EDA"/>
    <w:rsid w:val="00FC2AAA"/>
    <w:rsid w:val="00FC3171"/>
    <w:rsid w:val="00FC6620"/>
    <w:rsid w:val="00FC71FD"/>
    <w:rsid w:val="00FC756F"/>
    <w:rsid w:val="00FC77DF"/>
    <w:rsid w:val="00FC7D8A"/>
    <w:rsid w:val="00FD041F"/>
    <w:rsid w:val="00FD0D7F"/>
    <w:rsid w:val="00FD0E09"/>
    <w:rsid w:val="00FD128F"/>
    <w:rsid w:val="00FD1611"/>
    <w:rsid w:val="00FD1641"/>
    <w:rsid w:val="00FD4BA3"/>
    <w:rsid w:val="00FD5500"/>
    <w:rsid w:val="00FD5668"/>
    <w:rsid w:val="00FD5F22"/>
    <w:rsid w:val="00FD6565"/>
    <w:rsid w:val="00FD6A28"/>
    <w:rsid w:val="00FE0400"/>
    <w:rsid w:val="00FE08F8"/>
    <w:rsid w:val="00FE0D98"/>
    <w:rsid w:val="00FE2614"/>
    <w:rsid w:val="00FE281A"/>
    <w:rsid w:val="00FE39FE"/>
    <w:rsid w:val="00FE3D4C"/>
    <w:rsid w:val="00FE52D7"/>
    <w:rsid w:val="00FE691C"/>
    <w:rsid w:val="00FE6A3B"/>
    <w:rsid w:val="00FE7E27"/>
    <w:rsid w:val="00FF00CE"/>
    <w:rsid w:val="00FF02AF"/>
    <w:rsid w:val="00FF0AB5"/>
    <w:rsid w:val="00FF0E4D"/>
    <w:rsid w:val="00FF1B4B"/>
    <w:rsid w:val="00FF2C04"/>
    <w:rsid w:val="00FF35CB"/>
    <w:rsid w:val="00FF3B30"/>
    <w:rsid w:val="00FF3CA2"/>
    <w:rsid w:val="00FF4E3C"/>
    <w:rsid w:val="00FF569B"/>
    <w:rsid w:val="00FF5D80"/>
    <w:rsid w:val="00FF6E10"/>
    <w:rsid w:val="0128145B"/>
    <w:rsid w:val="02524E2D"/>
    <w:rsid w:val="030B5078"/>
    <w:rsid w:val="041A471D"/>
    <w:rsid w:val="04AA0D68"/>
    <w:rsid w:val="04CF742A"/>
    <w:rsid w:val="05E67C11"/>
    <w:rsid w:val="067C4FC5"/>
    <w:rsid w:val="069B7D40"/>
    <w:rsid w:val="07CE1E50"/>
    <w:rsid w:val="08FD4D1C"/>
    <w:rsid w:val="092903FD"/>
    <w:rsid w:val="098F7F5F"/>
    <w:rsid w:val="09C35F62"/>
    <w:rsid w:val="09D979A3"/>
    <w:rsid w:val="0A27673B"/>
    <w:rsid w:val="0A982B33"/>
    <w:rsid w:val="0B094BAF"/>
    <w:rsid w:val="0B4D48FD"/>
    <w:rsid w:val="0C377EA0"/>
    <w:rsid w:val="0C8437B9"/>
    <w:rsid w:val="0CD11F67"/>
    <w:rsid w:val="0CF025D0"/>
    <w:rsid w:val="0D735BE4"/>
    <w:rsid w:val="0DC3023B"/>
    <w:rsid w:val="0E342D52"/>
    <w:rsid w:val="0F9E7669"/>
    <w:rsid w:val="10BF5DC2"/>
    <w:rsid w:val="118F6D98"/>
    <w:rsid w:val="128B7208"/>
    <w:rsid w:val="12A16BA6"/>
    <w:rsid w:val="13947376"/>
    <w:rsid w:val="13CA192B"/>
    <w:rsid w:val="13DF7C1B"/>
    <w:rsid w:val="16EB2583"/>
    <w:rsid w:val="179906F8"/>
    <w:rsid w:val="18386EC0"/>
    <w:rsid w:val="18BB6925"/>
    <w:rsid w:val="18D651A2"/>
    <w:rsid w:val="196119C9"/>
    <w:rsid w:val="19953B5C"/>
    <w:rsid w:val="19DD6C80"/>
    <w:rsid w:val="1ABF02CB"/>
    <w:rsid w:val="1AE15495"/>
    <w:rsid w:val="1B6E7AC3"/>
    <w:rsid w:val="1B8D311C"/>
    <w:rsid w:val="1BC14BCA"/>
    <w:rsid w:val="1BEF44CD"/>
    <w:rsid w:val="1C77135B"/>
    <w:rsid w:val="1D1757E0"/>
    <w:rsid w:val="1D2A4DDE"/>
    <w:rsid w:val="1D3568C7"/>
    <w:rsid w:val="1D3F6CB0"/>
    <w:rsid w:val="1D8060A7"/>
    <w:rsid w:val="1DAE052B"/>
    <w:rsid w:val="1E7D29DA"/>
    <w:rsid w:val="1F2C330C"/>
    <w:rsid w:val="1F4500B7"/>
    <w:rsid w:val="1FF851D2"/>
    <w:rsid w:val="208234E4"/>
    <w:rsid w:val="212A1552"/>
    <w:rsid w:val="21CB7E5A"/>
    <w:rsid w:val="22765508"/>
    <w:rsid w:val="22AF23B2"/>
    <w:rsid w:val="23D12E43"/>
    <w:rsid w:val="243B46F9"/>
    <w:rsid w:val="25B13FE9"/>
    <w:rsid w:val="25EB066D"/>
    <w:rsid w:val="285754F4"/>
    <w:rsid w:val="2914521E"/>
    <w:rsid w:val="29AB0C86"/>
    <w:rsid w:val="2A4C3B67"/>
    <w:rsid w:val="2A8212FD"/>
    <w:rsid w:val="2B213753"/>
    <w:rsid w:val="2C206240"/>
    <w:rsid w:val="2D787E9B"/>
    <w:rsid w:val="2D7E41CD"/>
    <w:rsid w:val="2DDA6C01"/>
    <w:rsid w:val="2ECC3982"/>
    <w:rsid w:val="2F41633C"/>
    <w:rsid w:val="30C36E2E"/>
    <w:rsid w:val="310962A2"/>
    <w:rsid w:val="31664398"/>
    <w:rsid w:val="316E6AFB"/>
    <w:rsid w:val="317F3003"/>
    <w:rsid w:val="31A67E96"/>
    <w:rsid w:val="32220881"/>
    <w:rsid w:val="32F5039F"/>
    <w:rsid w:val="335140AE"/>
    <w:rsid w:val="33CA4FD5"/>
    <w:rsid w:val="345C49AA"/>
    <w:rsid w:val="3482639A"/>
    <w:rsid w:val="34CE0DFC"/>
    <w:rsid w:val="34F63817"/>
    <w:rsid w:val="351C312E"/>
    <w:rsid w:val="35316B71"/>
    <w:rsid w:val="356C42A5"/>
    <w:rsid w:val="356E2F24"/>
    <w:rsid w:val="36277586"/>
    <w:rsid w:val="364C6816"/>
    <w:rsid w:val="384C182B"/>
    <w:rsid w:val="38E874B9"/>
    <w:rsid w:val="39A40616"/>
    <w:rsid w:val="3A5D10C7"/>
    <w:rsid w:val="3A7760ED"/>
    <w:rsid w:val="3A9A1061"/>
    <w:rsid w:val="3B727D1E"/>
    <w:rsid w:val="3BB66239"/>
    <w:rsid w:val="3C11034C"/>
    <w:rsid w:val="3C6567B9"/>
    <w:rsid w:val="3CC2042F"/>
    <w:rsid w:val="3CD31214"/>
    <w:rsid w:val="3D0552C5"/>
    <w:rsid w:val="3D870BC8"/>
    <w:rsid w:val="3DB930B3"/>
    <w:rsid w:val="3F1D0B44"/>
    <w:rsid w:val="40EB4B88"/>
    <w:rsid w:val="41B83EDA"/>
    <w:rsid w:val="42A925E6"/>
    <w:rsid w:val="43AA62C5"/>
    <w:rsid w:val="455649B7"/>
    <w:rsid w:val="459E473C"/>
    <w:rsid w:val="45FD1378"/>
    <w:rsid w:val="47297534"/>
    <w:rsid w:val="47884634"/>
    <w:rsid w:val="48E82AAE"/>
    <w:rsid w:val="48FF2536"/>
    <w:rsid w:val="4C8909D7"/>
    <w:rsid w:val="4D2D250C"/>
    <w:rsid w:val="4D612AB1"/>
    <w:rsid w:val="4F4116F4"/>
    <w:rsid w:val="507166EA"/>
    <w:rsid w:val="513532EF"/>
    <w:rsid w:val="51483EFF"/>
    <w:rsid w:val="516B2E1D"/>
    <w:rsid w:val="51A10832"/>
    <w:rsid w:val="52FC0877"/>
    <w:rsid w:val="53406745"/>
    <w:rsid w:val="5431416F"/>
    <w:rsid w:val="54506102"/>
    <w:rsid w:val="54BF6A6E"/>
    <w:rsid w:val="5540354C"/>
    <w:rsid w:val="556A2F78"/>
    <w:rsid w:val="55A11C6E"/>
    <w:rsid w:val="561C3F95"/>
    <w:rsid w:val="576841EF"/>
    <w:rsid w:val="57A16DD0"/>
    <w:rsid w:val="583620E0"/>
    <w:rsid w:val="58857BF6"/>
    <w:rsid w:val="589D67A3"/>
    <w:rsid w:val="58DF1157"/>
    <w:rsid w:val="5981224A"/>
    <w:rsid w:val="5A6D5CCB"/>
    <w:rsid w:val="5A8F4966"/>
    <w:rsid w:val="5B2B557D"/>
    <w:rsid w:val="5B2E1338"/>
    <w:rsid w:val="5B8A65B0"/>
    <w:rsid w:val="5D315A51"/>
    <w:rsid w:val="5D4D5C43"/>
    <w:rsid w:val="5DFC6D86"/>
    <w:rsid w:val="5FF548D0"/>
    <w:rsid w:val="601C4D61"/>
    <w:rsid w:val="617A189C"/>
    <w:rsid w:val="62222950"/>
    <w:rsid w:val="628E091C"/>
    <w:rsid w:val="63125AEA"/>
    <w:rsid w:val="645B7A94"/>
    <w:rsid w:val="64743397"/>
    <w:rsid w:val="6493270D"/>
    <w:rsid w:val="665D0FA3"/>
    <w:rsid w:val="66895ACA"/>
    <w:rsid w:val="68096F58"/>
    <w:rsid w:val="688D5ED7"/>
    <w:rsid w:val="697C3916"/>
    <w:rsid w:val="69824BAF"/>
    <w:rsid w:val="6AC53FF4"/>
    <w:rsid w:val="6B9D4ECF"/>
    <w:rsid w:val="6DC44C8D"/>
    <w:rsid w:val="6DD94D55"/>
    <w:rsid w:val="6F6B32D2"/>
    <w:rsid w:val="6F80483B"/>
    <w:rsid w:val="706E5089"/>
    <w:rsid w:val="70E33DBA"/>
    <w:rsid w:val="71326F73"/>
    <w:rsid w:val="7460506A"/>
    <w:rsid w:val="74626BF9"/>
    <w:rsid w:val="7547435D"/>
    <w:rsid w:val="75905AF5"/>
    <w:rsid w:val="769D1228"/>
    <w:rsid w:val="769E6F93"/>
    <w:rsid w:val="76A67A78"/>
    <w:rsid w:val="76AE5F92"/>
    <w:rsid w:val="772B58E9"/>
    <w:rsid w:val="77554725"/>
    <w:rsid w:val="781B1043"/>
    <w:rsid w:val="78627696"/>
    <w:rsid w:val="78867C75"/>
    <w:rsid w:val="78CA4482"/>
    <w:rsid w:val="797846C2"/>
    <w:rsid w:val="7A1B5B31"/>
    <w:rsid w:val="7A606E21"/>
    <w:rsid w:val="7CA72686"/>
    <w:rsid w:val="7D1E20F0"/>
    <w:rsid w:val="7E7624F6"/>
    <w:rsid w:val="7EA6486A"/>
    <w:rsid w:val="7FA059B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qFormat="1" w:uiPriority="0" w:semiHidden="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qFormat="1" w:unhideWhenUsed="0" w:uiPriority="0" w:semiHidden="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60"/>
    <w:qFormat/>
    <w:uiPriority w:val="0"/>
    <w:pPr>
      <w:keepNext/>
      <w:adjustRightInd w:val="0"/>
      <w:snapToGrid w:val="0"/>
      <w:spacing w:before="60" w:after="60" w:line="360" w:lineRule="auto"/>
      <w:jc w:val="center"/>
      <w:outlineLvl w:val="1"/>
    </w:pPr>
    <w:rPr>
      <w:rFonts w:ascii="华文细黑" w:hAnsi="华文细黑" w:eastAsia="华文细黑"/>
      <w:b/>
      <w:snapToGrid w:val="0"/>
      <w:kern w:val="0"/>
      <w:sz w:val="30"/>
      <w:szCs w:val="20"/>
    </w:rPr>
  </w:style>
  <w:style w:type="paragraph" w:styleId="6">
    <w:name w:val="heading 3"/>
    <w:basedOn w:val="1"/>
    <w:next w:val="1"/>
    <w:link w:val="61"/>
    <w:unhideWhenUsed/>
    <w:qFormat/>
    <w:uiPriority w:val="0"/>
    <w:pPr>
      <w:keepNext/>
      <w:keepLines/>
      <w:spacing w:before="260" w:after="260" w:line="416" w:lineRule="auto"/>
      <w:outlineLvl w:val="2"/>
    </w:pPr>
    <w:rPr>
      <w:rFonts w:eastAsia="黑体"/>
      <w:b/>
      <w:bCs/>
      <w:sz w:val="24"/>
      <w:szCs w:val="32"/>
    </w:rPr>
  </w:style>
  <w:style w:type="paragraph" w:styleId="7">
    <w:name w:val="heading 4"/>
    <w:basedOn w:val="1"/>
    <w:next w:val="1"/>
    <w:link w:val="62"/>
    <w:qFormat/>
    <w:uiPriority w:val="0"/>
    <w:pPr>
      <w:keepNext/>
      <w:keepLines/>
      <w:spacing w:before="280" w:after="290" w:line="376" w:lineRule="auto"/>
      <w:outlineLvl w:val="3"/>
    </w:pPr>
    <w:rPr>
      <w:rFonts w:ascii="Arial" w:hAnsi="Arial" w:eastAsia="黑体"/>
      <w:b/>
      <w:bCs/>
      <w:sz w:val="24"/>
      <w:szCs w:val="28"/>
    </w:rPr>
  </w:style>
  <w:style w:type="character" w:default="1" w:styleId="34">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style>
  <w:style w:type="paragraph" w:styleId="5">
    <w:name w:val="Normal Indent"/>
    <w:basedOn w:val="1"/>
    <w:qFormat/>
    <w:uiPriority w:val="0"/>
    <w:pPr>
      <w:ind w:firstLine="420" w:firstLineChars="200"/>
    </w:pPr>
  </w:style>
  <w:style w:type="paragraph" w:styleId="8">
    <w:name w:val="toc 7"/>
    <w:basedOn w:val="1"/>
    <w:next w:val="1"/>
    <w:unhideWhenUsed/>
    <w:qFormat/>
    <w:uiPriority w:val="39"/>
    <w:pPr>
      <w:ind w:left="2520" w:leftChars="1200"/>
    </w:pPr>
    <w:rPr>
      <w:rFonts w:cs="黑体"/>
    </w:rPr>
  </w:style>
  <w:style w:type="paragraph" w:styleId="9">
    <w:name w:val="Document Map"/>
    <w:basedOn w:val="1"/>
    <w:link w:val="86"/>
    <w:unhideWhenUsed/>
    <w:qFormat/>
    <w:uiPriority w:val="0"/>
    <w:rPr>
      <w:rFonts w:ascii="Times New Roman" w:hAnsi="Times New Roman"/>
      <w:sz w:val="24"/>
      <w:szCs w:val="24"/>
    </w:rPr>
  </w:style>
  <w:style w:type="paragraph" w:styleId="10">
    <w:name w:val="annotation text"/>
    <w:basedOn w:val="1"/>
    <w:link w:val="73"/>
    <w:unhideWhenUsed/>
    <w:qFormat/>
    <w:uiPriority w:val="0"/>
    <w:pPr>
      <w:jc w:val="left"/>
    </w:pPr>
  </w:style>
  <w:style w:type="paragraph" w:styleId="11">
    <w:name w:val="Body Text"/>
    <w:basedOn w:val="1"/>
    <w:link w:val="69"/>
    <w:qFormat/>
    <w:uiPriority w:val="0"/>
    <w:rPr>
      <w:rFonts w:ascii="楷体_GB2312" w:hAnsi="Times New Roman" w:eastAsia="楷体_GB2312"/>
      <w:sz w:val="28"/>
      <w:szCs w:val="20"/>
    </w:rPr>
  </w:style>
  <w:style w:type="paragraph" w:styleId="12">
    <w:name w:val="Body Text Indent"/>
    <w:basedOn w:val="1"/>
    <w:link w:val="70"/>
    <w:qFormat/>
    <w:uiPriority w:val="0"/>
    <w:pPr>
      <w:ind w:left="569" w:firstLine="560"/>
    </w:pPr>
    <w:rPr>
      <w:rFonts w:ascii="楷体_GB2312" w:hAnsi="Times New Roman" w:eastAsia="楷体_GB2312"/>
      <w:sz w:val="28"/>
      <w:szCs w:val="20"/>
    </w:rPr>
  </w:style>
  <w:style w:type="paragraph" w:styleId="13">
    <w:name w:val="toc 5"/>
    <w:basedOn w:val="1"/>
    <w:next w:val="1"/>
    <w:unhideWhenUsed/>
    <w:qFormat/>
    <w:uiPriority w:val="39"/>
    <w:pPr>
      <w:ind w:left="1680" w:leftChars="800"/>
    </w:pPr>
    <w:rPr>
      <w:rFonts w:cs="黑体"/>
    </w:rPr>
  </w:style>
  <w:style w:type="paragraph" w:styleId="14">
    <w:name w:val="toc 3"/>
    <w:basedOn w:val="1"/>
    <w:next w:val="1"/>
    <w:unhideWhenUsed/>
    <w:qFormat/>
    <w:uiPriority w:val="39"/>
    <w:pPr>
      <w:widowControl/>
      <w:spacing w:after="100" w:line="276" w:lineRule="auto"/>
      <w:ind w:left="440"/>
      <w:jc w:val="left"/>
    </w:pPr>
    <w:rPr>
      <w:rFonts w:cs="黑体"/>
      <w:kern w:val="0"/>
      <w:sz w:val="22"/>
    </w:rPr>
  </w:style>
  <w:style w:type="paragraph" w:styleId="15">
    <w:name w:val="Plain Text"/>
    <w:basedOn w:val="1"/>
    <w:link w:val="63"/>
    <w:qFormat/>
    <w:uiPriority w:val="0"/>
    <w:rPr>
      <w:rFonts w:ascii="宋体" w:hAnsi="Courier New"/>
      <w:szCs w:val="20"/>
    </w:rPr>
  </w:style>
  <w:style w:type="paragraph" w:styleId="16">
    <w:name w:val="toc 8"/>
    <w:basedOn w:val="1"/>
    <w:next w:val="1"/>
    <w:unhideWhenUsed/>
    <w:qFormat/>
    <w:uiPriority w:val="39"/>
    <w:pPr>
      <w:ind w:left="2940" w:leftChars="1400"/>
    </w:pPr>
    <w:rPr>
      <w:rFonts w:cs="黑体"/>
    </w:rPr>
  </w:style>
  <w:style w:type="paragraph" w:styleId="17">
    <w:name w:val="Date"/>
    <w:basedOn w:val="1"/>
    <w:next w:val="1"/>
    <w:link w:val="66"/>
    <w:qFormat/>
    <w:uiPriority w:val="0"/>
    <w:rPr>
      <w:rFonts w:ascii="Times New Roman" w:hAnsi="Times New Roman"/>
      <w:szCs w:val="20"/>
    </w:rPr>
  </w:style>
  <w:style w:type="paragraph" w:styleId="18">
    <w:name w:val="Body Text Indent 2"/>
    <w:basedOn w:val="1"/>
    <w:link w:val="77"/>
    <w:unhideWhenUsed/>
    <w:qFormat/>
    <w:uiPriority w:val="0"/>
    <w:pPr>
      <w:spacing w:after="120" w:line="480" w:lineRule="auto"/>
      <w:ind w:left="420" w:leftChars="200"/>
    </w:pPr>
  </w:style>
  <w:style w:type="paragraph" w:styleId="19">
    <w:name w:val="Balloon Text"/>
    <w:basedOn w:val="1"/>
    <w:link w:val="58"/>
    <w:qFormat/>
    <w:uiPriority w:val="0"/>
    <w:rPr>
      <w:rFonts w:ascii="Times New Roman" w:hAnsi="Times New Roman"/>
      <w:sz w:val="18"/>
      <w:szCs w:val="18"/>
    </w:rPr>
  </w:style>
  <w:style w:type="paragraph" w:styleId="20">
    <w:name w:val="footer"/>
    <w:basedOn w:val="1"/>
    <w:link w:val="57"/>
    <w:qFormat/>
    <w:uiPriority w:val="99"/>
    <w:pPr>
      <w:tabs>
        <w:tab w:val="center" w:pos="4153"/>
        <w:tab w:val="right" w:pos="8306"/>
      </w:tabs>
      <w:snapToGrid w:val="0"/>
      <w:jc w:val="left"/>
    </w:pPr>
    <w:rPr>
      <w:rFonts w:ascii="Times New Roman" w:hAnsi="Times New Roman"/>
      <w:sz w:val="18"/>
      <w:szCs w:val="18"/>
    </w:rPr>
  </w:style>
  <w:style w:type="paragraph" w:styleId="21">
    <w:name w:val="header"/>
    <w:basedOn w:val="1"/>
    <w:link w:val="56"/>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2">
    <w:name w:val="toc 1"/>
    <w:basedOn w:val="1"/>
    <w:next w:val="1"/>
    <w:unhideWhenUsed/>
    <w:qFormat/>
    <w:uiPriority w:val="39"/>
    <w:pPr>
      <w:widowControl/>
      <w:spacing w:after="100" w:line="276" w:lineRule="auto"/>
      <w:jc w:val="left"/>
    </w:pPr>
    <w:rPr>
      <w:rFonts w:cs="黑体"/>
      <w:kern w:val="0"/>
      <w:sz w:val="22"/>
    </w:rPr>
  </w:style>
  <w:style w:type="paragraph" w:styleId="23">
    <w:name w:val="toc 4"/>
    <w:basedOn w:val="1"/>
    <w:next w:val="1"/>
    <w:unhideWhenUsed/>
    <w:qFormat/>
    <w:uiPriority w:val="39"/>
    <w:pPr>
      <w:ind w:left="1260" w:leftChars="600"/>
    </w:pPr>
    <w:rPr>
      <w:rFonts w:cs="黑体"/>
    </w:rPr>
  </w:style>
  <w:style w:type="paragraph" w:styleId="24">
    <w:name w:val="Subtitle"/>
    <w:basedOn w:val="1"/>
    <w:next w:val="1"/>
    <w:link w:val="65"/>
    <w:qFormat/>
    <w:uiPriority w:val="0"/>
    <w:pPr>
      <w:spacing w:before="240" w:after="60" w:line="312" w:lineRule="auto"/>
      <w:jc w:val="center"/>
      <w:outlineLvl w:val="1"/>
    </w:pPr>
    <w:rPr>
      <w:rFonts w:ascii="Cambria" w:hAnsi="Cambria" w:eastAsia="黑体" w:cs="黑体"/>
      <w:b/>
      <w:bCs/>
      <w:kern w:val="28"/>
      <w:sz w:val="30"/>
      <w:szCs w:val="32"/>
    </w:rPr>
  </w:style>
  <w:style w:type="paragraph" w:styleId="25">
    <w:name w:val="toc 6"/>
    <w:basedOn w:val="1"/>
    <w:next w:val="1"/>
    <w:unhideWhenUsed/>
    <w:qFormat/>
    <w:uiPriority w:val="39"/>
    <w:pPr>
      <w:ind w:left="2100" w:leftChars="1000"/>
    </w:pPr>
    <w:rPr>
      <w:rFonts w:cs="黑体"/>
    </w:rPr>
  </w:style>
  <w:style w:type="paragraph" w:styleId="26">
    <w:name w:val="Body Text Indent 3"/>
    <w:basedOn w:val="1"/>
    <w:link w:val="71"/>
    <w:qFormat/>
    <w:uiPriority w:val="0"/>
    <w:pPr>
      <w:ind w:firstLine="560"/>
    </w:pPr>
    <w:rPr>
      <w:rFonts w:ascii="楷体_GB2312" w:hAnsi="Times New Roman" w:eastAsia="楷体_GB2312"/>
      <w:sz w:val="28"/>
      <w:szCs w:val="20"/>
    </w:rPr>
  </w:style>
  <w:style w:type="paragraph" w:styleId="27">
    <w:name w:val="toc 2"/>
    <w:basedOn w:val="1"/>
    <w:next w:val="1"/>
    <w:unhideWhenUsed/>
    <w:qFormat/>
    <w:uiPriority w:val="39"/>
    <w:pPr>
      <w:widowControl/>
      <w:spacing w:after="100" w:line="276" w:lineRule="auto"/>
      <w:ind w:left="220"/>
      <w:jc w:val="left"/>
    </w:pPr>
    <w:rPr>
      <w:rFonts w:cs="黑体"/>
      <w:kern w:val="0"/>
      <w:sz w:val="22"/>
    </w:rPr>
  </w:style>
  <w:style w:type="paragraph" w:styleId="28">
    <w:name w:val="toc 9"/>
    <w:basedOn w:val="1"/>
    <w:next w:val="1"/>
    <w:unhideWhenUsed/>
    <w:qFormat/>
    <w:uiPriority w:val="39"/>
    <w:pPr>
      <w:ind w:left="3360" w:leftChars="1600"/>
    </w:pPr>
    <w:rPr>
      <w:rFonts w:cs="黑体"/>
    </w:rPr>
  </w:style>
  <w:style w:type="paragraph" w:styleId="2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0">
    <w:name w:val="Title"/>
    <w:basedOn w:val="1"/>
    <w:next w:val="1"/>
    <w:link w:val="68"/>
    <w:qFormat/>
    <w:uiPriority w:val="0"/>
    <w:pPr>
      <w:spacing w:before="240" w:after="60"/>
      <w:jc w:val="left"/>
      <w:outlineLvl w:val="0"/>
    </w:pPr>
    <w:rPr>
      <w:rFonts w:ascii="Cambria" w:hAnsi="Cambria" w:eastAsia="微软雅黑" w:cs="黑体"/>
      <w:b/>
      <w:bCs/>
      <w:sz w:val="44"/>
      <w:szCs w:val="32"/>
    </w:rPr>
  </w:style>
  <w:style w:type="paragraph" w:styleId="31">
    <w:name w:val="annotation subject"/>
    <w:basedOn w:val="10"/>
    <w:next w:val="10"/>
    <w:link w:val="74"/>
    <w:unhideWhenUsed/>
    <w:qFormat/>
    <w:uiPriority w:val="0"/>
    <w:rPr>
      <w:b/>
      <w:bCs/>
    </w:rPr>
  </w:style>
  <w:style w:type="table" w:styleId="33">
    <w:name w:val="Table Grid"/>
    <w:basedOn w:val="32"/>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5">
    <w:name w:val="Strong"/>
    <w:qFormat/>
    <w:uiPriority w:val="0"/>
    <w:rPr>
      <w:b/>
    </w:rPr>
  </w:style>
  <w:style w:type="character" w:styleId="36">
    <w:name w:val="Hyperlink"/>
    <w:unhideWhenUsed/>
    <w:qFormat/>
    <w:uiPriority w:val="99"/>
    <w:rPr>
      <w:color w:val="136EC2"/>
      <w:u w:val="single"/>
    </w:rPr>
  </w:style>
  <w:style w:type="character" w:styleId="37">
    <w:name w:val="annotation reference"/>
    <w:unhideWhenUsed/>
    <w:qFormat/>
    <w:uiPriority w:val="0"/>
    <w:rPr>
      <w:sz w:val="21"/>
      <w:szCs w:val="21"/>
    </w:rPr>
  </w:style>
  <w:style w:type="paragraph" w:customStyle="1" w:styleId="38">
    <w:name w:val="列出段落1"/>
    <w:basedOn w:val="1"/>
    <w:qFormat/>
    <w:uiPriority w:val="34"/>
    <w:pPr>
      <w:ind w:firstLine="420" w:firstLineChars="200"/>
    </w:pPr>
  </w:style>
  <w:style w:type="paragraph" w:customStyle="1" w:styleId="39">
    <w:name w:val="p0"/>
    <w:basedOn w:val="1"/>
    <w:qFormat/>
    <w:uiPriority w:val="0"/>
    <w:pPr>
      <w:widowControl/>
      <w:jc w:val="left"/>
    </w:pPr>
    <w:rPr>
      <w:rFonts w:ascii="MingLiU" w:hAnsi="MingLiU" w:eastAsia="MingLiU"/>
      <w:kern w:val="0"/>
      <w:sz w:val="24"/>
      <w:szCs w:val="20"/>
    </w:rPr>
  </w:style>
  <w:style w:type="paragraph" w:customStyle="1" w:styleId="40">
    <w:name w:val="style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1">
    <w:name w:val="列出段落11"/>
    <w:basedOn w:val="1"/>
    <w:qFormat/>
    <w:uiPriority w:val="34"/>
    <w:pPr>
      <w:ind w:firstLine="420" w:firstLineChars="200"/>
    </w:pPr>
    <w:rPr>
      <w:szCs w:val="20"/>
    </w:rPr>
  </w:style>
  <w:style w:type="paragraph" w:customStyle="1" w:styleId="42">
    <w:name w:val="TOC 标题1"/>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43">
    <w:name w:val="正文样式1"/>
    <w:basedOn w:val="1"/>
    <w:qFormat/>
    <w:uiPriority w:val="0"/>
    <w:pPr>
      <w:spacing w:line="300" w:lineRule="auto"/>
      <w:ind w:firstLine="560" w:firstLineChars="200"/>
    </w:pPr>
    <w:rPr>
      <w:rFonts w:ascii="楷体_GB2312" w:hAnsi="Times New Roman" w:eastAsia="楷体_GB2312"/>
      <w:kern w:val="0"/>
      <w:sz w:val="28"/>
      <w:szCs w:val="24"/>
    </w:rPr>
  </w:style>
  <w:style w:type="paragraph" w:customStyle="1" w:styleId="4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5">
    <w:name w:val="样式2"/>
    <w:basedOn w:val="1"/>
    <w:link w:val="72"/>
    <w:qFormat/>
    <w:uiPriority w:val="0"/>
    <w:pPr>
      <w:wordWrap w:val="0"/>
      <w:topLinePunct/>
      <w:adjustRightInd w:val="0"/>
      <w:snapToGrid w:val="0"/>
      <w:spacing w:beforeLines="50" w:line="276" w:lineRule="auto"/>
      <w:ind w:left="794" w:firstLine="600" w:firstLineChars="200"/>
      <w:jc w:val="left"/>
      <w:textAlignment w:val="center"/>
      <w:outlineLvl w:val="1"/>
    </w:pPr>
    <w:rPr>
      <w:rFonts w:ascii="宋体" w:hAnsi="宋体"/>
      <w:sz w:val="30"/>
      <w:szCs w:val="30"/>
    </w:rPr>
  </w:style>
  <w:style w:type="paragraph" w:customStyle="1" w:styleId="46">
    <w:name w:val="Normal Indent1"/>
    <w:basedOn w:val="1"/>
    <w:qFormat/>
    <w:uiPriority w:val="0"/>
    <w:pPr>
      <w:ind w:firstLine="420"/>
    </w:pPr>
    <w:rPr>
      <w:rFonts w:ascii="Times New Roman" w:hAnsi="Times New Roman"/>
      <w:szCs w:val="20"/>
    </w:rPr>
  </w:style>
  <w:style w:type="paragraph" w:customStyle="1" w:styleId="47">
    <w:name w:val="修订1"/>
    <w:hidden/>
    <w:semiHidden/>
    <w:qFormat/>
    <w:uiPriority w:val="99"/>
    <w:rPr>
      <w:rFonts w:ascii="Calibri" w:hAnsi="Calibri" w:eastAsia="宋体" w:cs="Times New Roman"/>
      <w:kern w:val="2"/>
      <w:sz w:val="21"/>
      <w:szCs w:val="22"/>
      <w:lang w:val="en-US" w:eastAsia="zh-CN" w:bidi="ar-SA"/>
    </w:rPr>
  </w:style>
  <w:style w:type="paragraph" w:customStyle="1" w:styleId="48">
    <w:name w:val="注解"/>
    <w:basedOn w:val="1"/>
    <w:qFormat/>
    <w:uiPriority w:val="99"/>
    <w:pPr>
      <w:widowControl/>
      <w:spacing w:line="360" w:lineRule="auto"/>
      <w:ind w:left="480" w:firstLine="480" w:firstLineChars="200"/>
      <w:jc w:val="left"/>
    </w:pPr>
    <w:rPr>
      <w:rFonts w:ascii="宋体" w:hAnsi="宋体"/>
      <w:kern w:val="0"/>
      <w:sz w:val="24"/>
      <w:szCs w:val="24"/>
    </w:rPr>
  </w:style>
  <w:style w:type="paragraph" w:customStyle="1" w:styleId="4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细项"/>
    <w:basedOn w:val="1"/>
    <w:link w:val="75"/>
    <w:qFormat/>
    <w:uiPriority w:val="0"/>
    <w:pPr>
      <w:numPr>
        <w:ilvl w:val="0"/>
        <w:numId w:val="1"/>
      </w:numPr>
      <w:spacing w:before="156" w:after="156" w:line="360" w:lineRule="auto"/>
    </w:pPr>
    <w:rPr>
      <w:rFonts w:ascii="Times New Roman" w:hAnsi="Times New Roman" w:eastAsia="华文仿宋"/>
      <w:szCs w:val="21"/>
    </w:rPr>
  </w:style>
  <w:style w:type="paragraph" w:customStyle="1" w:styleId="51">
    <w:name w:val="正文（无缩进）"/>
    <w:basedOn w:val="1"/>
    <w:link w:val="76"/>
    <w:qFormat/>
    <w:uiPriority w:val="0"/>
    <w:pPr>
      <w:widowControl/>
      <w:spacing w:beforeLines="50" w:afterLines="50"/>
      <w:jc w:val="left"/>
    </w:pPr>
    <w:rPr>
      <w:rFonts w:ascii="仿宋" w:hAnsi="仿宋" w:eastAsia="仿宋"/>
      <w:kern w:val="0"/>
      <w:sz w:val="32"/>
      <w:szCs w:val="20"/>
    </w:rPr>
  </w:style>
  <w:style w:type="paragraph" w:customStyle="1" w:styleId="52">
    <w:name w:val="默认段落字体 Para Char Char Char Char Char Char Char Char Char Char"/>
    <w:basedOn w:val="1"/>
    <w:qFormat/>
    <w:uiPriority w:val="0"/>
    <w:rPr>
      <w:rFonts w:ascii="Tahoma" w:hAnsi="Tahoma"/>
      <w:sz w:val="24"/>
      <w:szCs w:val="20"/>
    </w:rPr>
  </w:style>
  <w:style w:type="paragraph" w:customStyle="1" w:styleId="53">
    <w:name w:val="列出段落2"/>
    <w:basedOn w:val="1"/>
    <w:qFormat/>
    <w:uiPriority w:val="34"/>
    <w:pPr>
      <w:ind w:firstLine="420" w:firstLineChars="200"/>
    </w:pPr>
    <w:rPr>
      <w:rFonts w:ascii="Times New Roman" w:hAnsi="Times New Roman"/>
      <w:szCs w:val="20"/>
    </w:rPr>
  </w:style>
  <w:style w:type="paragraph" w:customStyle="1" w:styleId="54">
    <w:name w:val="列出段落3"/>
    <w:basedOn w:val="1"/>
    <w:link w:val="80"/>
    <w:qFormat/>
    <w:uiPriority w:val="34"/>
    <w:pPr>
      <w:ind w:firstLine="420" w:firstLineChars="200"/>
    </w:pPr>
  </w:style>
  <w:style w:type="paragraph" w:customStyle="1" w:styleId="55">
    <w:name w:val="修订2"/>
    <w:hidden/>
    <w:semiHidden/>
    <w:qFormat/>
    <w:uiPriority w:val="99"/>
    <w:rPr>
      <w:rFonts w:ascii="Calibri" w:hAnsi="Calibri" w:eastAsia="宋体" w:cs="Times New Roman"/>
      <w:kern w:val="2"/>
      <w:sz w:val="21"/>
      <w:szCs w:val="22"/>
      <w:lang w:val="en-US" w:eastAsia="zh-CN" w:bidi="ar-SA"/>
    </w:rPr>
  </w:style>
  <w:style w:type="character" w:customStyle="1" w:styleId="56">
    <w:name w:val="页眉 Char"/>
    <w:link w:val="21"/>
    <w:qFormat/>
    <w:uiPriority w:val="99"/>
    <w:rPr>
      <w:kern w:val="2"/>
      <w:sz w:val="18"/>
      <w:szCs w:val="18"/>
    </w:rPr>
  </w:style>
  <w:style w:type="character" w:customStyle="1" w:styleId="57">
    <w:name w:val="页脚 Char"/>
    <w:link w:val="20"/>
    <w:qFormat/>
    <w:uiPriority w:val="99"/>
    <w:rPr>
      <w:kern w:val="2"/>
      <w:sz w:val="18"/>
      <w:szCs w:val="18"/>
    </w:rPr>
  </w:style>
  <w:style w:type="character" w:customStyle="1" w:styleId="58">
    <w:name w:val="批注框文本 Char"/>
    <w:link w:val="19"/>
    <w:qFormat/>
    <w:uiPriority w:val="0"/>
    <w:rPr>
      <w:kern w:val="2"/>
      <w:sz w:val="18"/>
      <w:szCs w:val="18"/>
    </w:rPr>
  </w:style>
  <w:style w:type="character" w:customStyle="1" w:styleId="59">
    <w:name w:val="标题 1 Char"/>
    <w:link w:val="3"/>
    <w:qFormat/>
    <w:uiPriority w:val="0"/>
    <w:rPr>
      <w:rFonts w:ascii="Calibri" w:hAnsi="Calibri"/>
      <w:b/>
      <w:bCs/>
      <w:kern w:val="44"/>
      <w:sz w:val="44"/>
      <w:szCs w:val="44"/>
    </w:rPr>
  </w:style>
  <w:style w:type="character" w:customStyle="1" w:styleId="60">
    <w:name w:val="标题 2 Char"/>
    <w:link w:val="4"/>
    <w:qFormat/>
    <w:uiPriority w:val="0"/>
    <w:rPr>
      <w:rFonts w:ascii="华文细黑" w:hAnsi="华文细黑" w:eastAsia="华文细黑"/>
      <w:b/>
      <w:snapToGrid w:val="0"/>
      <w:sz w:val="30"/>
    </w:rPr>
  </w:style>
  <w:style w:type="character" w:customStyle="1" w:styleId="61">
    <w:name w:val="标题 3 Char"/>
    <w:link w:val="6"/>
    <w:qFormat/>
    <w:uiPriority w:val="0"/>
    <w:rPr>
      <w:rFonts w:ascii="Calibri" w:hAnsi="Calibri" w:eastAsia="黑体"/>
      <w:b/>
      <w:bCs/>
      <w:kern w:val="2"/>
      <w:sz w:val="24"/>
      <w:szCs w:val="32"/>
    </w:rPr>
  </w:style>
  <w:style w:type="character" w:customStyle="1" w:styleId="62">
    <w:name w:val="标题 4 Char"/>
    <w:link w:val="7"/>
    <w:qFormat/>
    <w:uiPriority w:val="0"/>
    <w:rPr>
      <w:rFonts w:ascii="Arial" w:hAnsi="Arial" w:eastAsia="黑体"/>
      <w:b/>
      <w:bCs/>
      <w:kern w:val="2"/>
      <w:sz w:val="24"/>
      <w:szCs w:val="28"/>
    </w:rPr>
  </w:style>
  <w:style w:type="character" w:customStyle="1" w:styleId="63">
    <w:name w:val="纯文本 Char"/>
    <w:link w:val="15"/>
    <w:qFormat/>
    <w:uiPriority w:val="0"/>
    <w:rPr>
      <w:rFonts w:ascii="宋体" w:hAnsi="Courier New"/>
      <w:kern w:val="2"/>
      <w:sz w:val="21"/>
    </w:rPr>
  </w:style>
  <w:style w:type="character" w:customStyle="1" w:styleId="64">
    <w:name w:val="纯文本 Char1"/>
    <w:qFormat/>
    <w:uiPriority w:val="0"/>
    <w:rPr>
      <w:rFonts w:ascii="宋体" w:hAnsi="Courier New" w:cs="Courier New"/>
      <w:kern w:val="2"/>
      <w:sz w:val="21"/>
      <w:szCs w:val="21"/>
    </w:rPr>
  </w:style>
  <w:style w:type="character" w:customStyle="1" w:styleId="65">
    <w:name w:val="副标题 Char"/>
    <w:link w:val="24"/>
    <w:qFormat/>
    <w:uiPriority w:val="0"/>
    <w:rPr>
      <w:rFonts w:ascii="Cambria" w:hAnsi="Cambria" w:eastAsia="黑体" w:cs="黑体"/>
      <w:b/>
      <w:bCs/>
      <w:kern w:val="28"/>
      <w:sz w:val="30"/>
      <w:szCs w:val="32"/>
    </w:rPr>
  </w:style>
  <w:style w:type="character" w:customStyle="1" w:styleId="66">
    <w:name w:val="日期 Char"/>
    <w:link w:val="17"/>
    <w:qFormat/>
    <w:uiPriority w:val="0"/>
    <w:rPr>
      <w:kern w:val="2"/>
      <w:sz w:val="21"/>
    </w:rPr>
  </w:style>
  <w:style w:type="character" w:customStyle="1" w:styleId="67">
    <w:name w:val="日期 Char1"/>
    <w:qFormat/>
    <w:uiPriority w:val="0"/>
    <w:rPr>
      <w:rFonts w:ascii="Calibri" w:hAnsi="Calibri"/>
      <w:kern w:val="2"/>
      <w:sz w:val="21"/>
      <w:szCs w:val="22"/>
    </w:rPr>
  </w:style>
  <w:style w:type="character" w:customStyle="1" w:styleId="68">
    <w:name w:val="标题 Char"/>
    <w:link w:val="30"/>
    <w:qFormat/>
    <w:uiPriority w:val="0"/>
    <w:rPr>
      <w:rFonts w:ascii="Cambria" w:hAnsi="Cambria" w:eastAsia="微软雅黑" w:cs="黑体"/>
      <w:b/>
      <w:bCs/>
      <w:kern w:val="2"/>
      <w:sz w:val="44"/>
      <w:szCs w:val="32"/>
    </w:rPr>
  </w:style>
  <w:style w:type="character" w:customStyle="1" w:styleId="69">
    <w:name w:val="正文文本 Char"/>
    <w:link w:val="11"/>
    <w:qFormat/>
    <w:uiPriority w:val="0"/>
    <w:rPr>
      <w:rFonts w:ascii="楷体_GB2312" w:eastAsia="楷体_GB2312"/>
      <w:kern w:val="2"/>
      <w:sz w:val="28"/>
    </w:rPr>
  </w:style>
  <w:style w:type="character" w:customStyle="1" w:styleId="70">
    <w:name w:val="正文文本缩进 Char"/>
    <w:link w:val="12"/>
    <w:qFormat/>
    <w:uiPriority w:val="0"/>
    <w:rPr>
      <w:rFonts w:ascii="楷体_GB2312" w:eastAsia="楷体_GB2312"/>
      <w:kern w:val="2"/>
      <w:sz w:val="28"/>
    </w:rPr>
  </w:style>
  <w:style w:type="character" w:customStyle="1" w:styleId="71">
    <w:name w:val="正文文本缩进 3 Char"/>
    <w:link w:val="26"/>
    <w:qFormat/>
    <w:uiPriority w:val="0"/>
    <w:rPr>
      <w:rFonts w:ascii="楷体_GB2312" w:eastAsia="楷体_GB2312"/>
      <w:kern w:val="2"/>
      <w:sz w:val="28"/>
    </w:rPr>
  </w:style>
  <w:style w:type="character" w:customStyle="1" w:styleId="72">
    <w:name w:val="样式2 Char"/>
    <w:link w:val="45"/>
    <w:qFormat/>
    <w:uiPriority w:val="0"/>
    <w:rPr>
      <w:rFonts w:ascii="宋体" w:hAnsi="宋体"/>
      <w:kern w:val="2"/>
      <w:sz w:val="30"/>
      <w:szCs w:val="30"/>
    </w:rPr>
  </w:style>
  <w:style w:type="character" w:customStyle="1" w:styleId="73">
    <w:name w:val="批注文字 Char"/>
    <w:link w:val="10"/>
    <w:semiHidden/>
    <w:qFormat/>
    <w:uiPriority w:val="0"/>
    <w:rPr>
      <w:rFonts w:ascii="Calibri" w:hAnsi="Calibri"/>
      <w:kern w:val="2"/>
      <w:sz w:val="21"/>
      <w:szCs w:val="22"/>
    </w:rPr>
  </w:style>
  <w:style w:type="character" w:customStyle="1" w:styleId="74">
    <w:name w:val="批注主题 Char"/>
    <w:link w:val="31"/>
    <w:semiHidden/>
    <w:qFormat/>
    <w:uiPriority w:val="0"/>
    <w:rPr>
      <w:rFonts w:ascii="Calibri" w:hAnsi="Calibri"/>
      <w:b/>
      <w:bCs/>
      <w:kern w:val="2"/>
      <w:sz w:val="21"/>
      <w:szCs w:val="22"/>
    </w:rPr>
  </w:style>
  <w:style w:type="character" w:customStyle="1" w:styleId="75">
    <w:name w:val="细项 Char"/>
    <w:link w:val="50"/>
    <w:qFormat/>
    <w:uiPriority w:val="0"/>
    <w:rPr>
      <w:rFonts w:eastAsia="华文仿宋"/>
      <w:kern w:val="2"/>
      <w:sz w:val="21"/>
      <w:szCs w:val="21"/>
    </w:rPr>
  </w:style>
  <w:style w:type="character" w:customStyle="1" w:styleId="76">
    <w:name w:val="正文（无缩进） Char"/>
    <w:link w:val="51"/>
    <w:qFormat/>
    <w:uiPriority w:val="0"/>
    <w:rPr>
      <w:rFonts w:ascii="仿宋" w:hAnsi="仿宋" w:eastAsia="仿宋"/>
      <w:sz w:val="32"/>
    </w:rPr>
  </w:style>
  <w:style w:type="character" w:customStyle="1" w:styleId="77">
    <w:name w:val="正文文本缩进 2 Char"/>
    <w:link w:val="18"/>
    <w:semiHidden/>
    <w:qFormat/>
    <w:uiPriority w:val="0"/>
    <w:rPr>
      <w:rFonts w:ascii="Calibri" w:hAnsi="Calibri"/>
      <w:kern w:val="2"/>
      <w:sz w:val="21"/>
      <w:szCs w:val="22"/>
    </w:rPr>
  </w:style>
  <w:style w:type="character" w:customStyle="1" w:styleId="78">
    <w:name w:val="占位符文本1"/>
    <w:semiHidden/>
    <w:qFormat/>
    <w:uiPriority w:val="99"/>
    <w:rPr>
      <w:color w:val="808080"/>
    </w:rPr>
  </w:style>
  <w:style w:type="character" w:customStyle="1" w:styleId="79">
    <w:name w:val="apple-converted-space"/>
    <w:qFormat/>
    <w:uiPriority w:val="0"/>
  </w:style>
  <w:style w:type="character" w:customStyle="1" w:styleId="80">
    <w:name w:val="列出段落 Char"/>
    <w:link w:val="54"/>
    <w:qFormat/>
    <w:uiPriority w:val="34"/>
    <w:rPr>
      <w:rFonts w:ascii="Calibri" w:hAnsi="Calibri"/>
      <w:kern w:val="2"/>
      <w:sz w:val="21"/>
      <w:szCs w:val="22"/>
    </w:rPr>
  </w:style>
  <w:style w:type="paragraph" w:customStyle="1" w:styleId="81">
    <w:name w:val="列出段落4"/>
    <w:basedOn w:val="1"/>
    <w:qFormat/>
    <w:uiPriority w:val="34"/>
    <w:pPr>
      <w:ind w:firstLine="420" w:firstLineChars="200"/>
    </w:pPr>
  </w:style>
  <w:style w:type="paragraph" w:customStyle="1" w:styleId="82">
    <w:name w:val="缩进 Char Char"/>
    <w:basedOn w:val="5"/>
    <w:link w:val="83"/>
    <w:qFormat/>
    <w:uiPriority w:val="0"/>
    <w:pPr>
      <w:spacing w:beforeLines="50" w:afterLines="50" w:line="360" w:lineRule="auto"/>
      <w:ind w:firstLine="480"/>
    </w:pPr>
    <w:rPr>
      <w:rFonts w:ascii="Tahoma" w:hAnsi="Tahoma"/>
      <w:kern w:val="0"/>
      <w:sz w:val="24"/>
      <w:szCs w:val="20"/>
    </w:rPr>
  </w:style>
  <w:style w:type="character" w:customStyle="1" w:styleId="83">
    <w:name w:val="缩进 Char Char Char"/>
    <w:link w:val="82"/>
    <w:qFormat/>
    <w:uiPriority w:val="0"/>
    <w:rPr>
      <w:rFonts w:ascii="Tahoma" w:hAnsi="Tahoma"/>
      <w:sz w:val="24"/>
    </w:rPr>
  </w:style>
  <w:style w:type="paragraph" w:customStyle="1" w:styleId="84">
    <w:name w:val="列出段落5"/>
    <w:basedOn w:val="1"/>
    <w:unhideWhenUsed/>
    <w:qFormat/>
    <w:uiPriority w:val="99"/>
    <w:pPr>
      <w:ind w:firstLine="420" w:firstLineChars="200"/>
    </w:pPr>
  </w:style>
  <w:style w:type="paragraph" w:customStyle="1" w:styleId="85">
    <w:name w:val="列出段落51"/>
    <w:basedOn w:val="1"/>
    <w:qFormat/>
    <w:uiPriority w:val="99"/>
    <w:pPr>
      <w:ind w:firstLine="420" w:firstLineChars="200"/>
    </w:pPr>
  </w:style>
  <w:style w:type="character" w:customStyle="1" w:styleId="86">
    <w:name w:val="文档结构图 Char"/>
    <w:basedOn w:val="34"/>
    <w:link w:val="9"/>
    <w:semiHidden/>
    <w:qFormat/>
    <w:uiPriority w:val="0"/>
    <w:rPr>
      <w:kern w:val="2"/>
      <w:sz w:val="24"/>
      <w:szCs w:val="24"/>
    </w:rPr>
  </w:style>
  <w:style w:type="paragraph" w:customStyle="1" w:styleId="87">
    <w:name w:val="修订3"/>
    <w:hidden/>
    <w:semiHidden/>
    <w:qFormat/>
    <w:uiPriority w:val="99"/>
    <w:rPr>
      <w:rFonts w:ascii="Calibri" w:hAnsi="Calibri" w:eastAsia="宋体" w:cs="Times New Roman"/>
      <w:kern w:val="2"/>
      <w:sz w:val="21"/>
      <w:szCs w:val="22"/>
      <w:lang w:val="en-US" w:eastAsia="zh-CN" w:bidi="ar-SA"/>
    </w:rPr>
  </w:style>
  <w:style w:type="paragraph" w:customStyle="1" w:styleId="88">
    <w:name w:val="列出段落6"/>
    <w:basedOn w:val="1"/>
    <w:qFormat/>
    <w:uiPriority w:val="99"/>
    <w:pPr>
      <w:ind w:firstLine="420" w:firstLineChars="200"/>
    </w:pPr>
  </w:style>
  <w:style w:type="paragraph" w:customStyle="1" w:styleId="89">
    <w:name w:val="列出段落7"/>
    <w:basedOn w:val="1"/>
    <w:qFormat/>
    <w:uiPriority w:val="99"/>
    <w:pPr>
      <w:ind w:firstLine="420" w:firstLineChars="200"/>
    </w:pPr>
  </w:style>
  <w:style w:type="character" w:customStyle="1" w:styleId="90">
    <w:name w:val="fontstyle11"/>
    <w:basedOn w:val="34"/>
    <w:qFormat/>
    <w:uiPriority w:val="0"/>
    <w:rPr>
      <w:rFonts w:hint="eastAsia" w:ascii="宋体" w:hAnsi="宋体" w:eastAsia="宋体"/>
      <w:color w:val="000000"/>
      <w:sz w:val="24"/>
      <w:szCs w:val="24"/>
    </w:rPr>
  </w:style>
  <w:style w:type="character" w:customStyle="1" w:styleId="91">
    <w:name w:val="fontstyle01"/>
    <w:basedOn w:val="34"/>
    <w:qFormat/>
    <w:uiPriority w:val="0"/>
    <w:rPr>
      <w:rFonts w:hint="default" w:ascii="Calibri" w:hAnsi="Calibri" w:cs="Calibri"/>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81D0A-85C4-4D73-A063-8D22CD877A0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3556</Words>
  <Characters>20273</Characters>
  <Lines>168</Lines>
  <Paragraphs>47</Paragraphs>
  <TotalTime>8</TotalTime>
  <ScaleCrop>false</ScaleCrop>
  <LinksUpToDate>false</LinksUpToDate>
  <CharactersWithSpaces>23782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2020-02-27T05:15:00Z</dcterms:created>
  <dc:creator>ayl</dc:creator>
  <cp:lastModifiedBy>Administrator</cp:lastModifiedBy>
  <cp:lastPrinted>2017-03-16T10:41:00Z</cp:lastPrinted>
  <dcterms:modified xsi:type="dcterms:W3CDTF">2023-11-27T02:33:33Z</dcterms:modified>
  <dc:title>廊坊银行股份有限公司</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